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1CBA3" w14:textId="1B59E242" w:rsidR="007C46CB" w:rsidRPr="007243B0" w:rsidRDefault="007C46CB">
      <w:pPr>
        <w:pStyle w:val="p1"/>
        <w:rPr>
          <w:rStyle w:val="s1"/>
          <w:rFonts w:ascii="Times New Roman" w:hAnsi="Times New Roman"/>
          <w:color w:val="000000" w:themeColor="text1"/>
          <w:sz w:val="50"/>
          <w:szCs w:val="50"/>
        </w:rPr>
      </w:pPr>
      <w:r w:rsidRPr="007243B0">
        <w:rPr>
          <w:rStyle w:val="s1"/>
          <w:rFonts w:ascii="Times New Roman" w:hAnsi="Times New Roman"/>
          <w:color w:val="000000" w:themeColor="text1"/>
          <w:sz w:val="50"/>
          <w:szCs w:val="50"/>
        </w:rPr>
        <w:t>BCU LAW</w:t>
      </w:r>
      <w:r w:rsidR="3064AB6C" w:rsidRPr="007243B0">
        <w:rPr>
          <w:rStyle w:val="s1"/>
          <w:rFonts w:ascii="Times New Roman" w:hAnsi="Times New Roman"/>
          <w:color w:val="000000" w:themeColor="text1"/>
          <w:sz w:val="50"/>
          <w:szCs w:val="50"/>
        </w:rPr>
        <w:t>, DEBATE</w:t>
      </w:r>
      <w:r w:rsidRPr="007243B0">
        <w:rPr>
          <w:rStyle w:val="s1"/>
          <w:rFonts w:ascii="Times New Roman" w:hAnsi="Times New Roman"/>
          <w:color w:val="000000" w:themeColor="text1"/>
          <w:sz w:val="50"/>
          <w:szCs w:val="50"/>
        </w:rPr>
        <w:t xml:space="preserve"> </w:t>
      </w:r>
      <w:r w:rsidR="00290F74" w:rsidRPr="007243B0">
        <w:rPr>
          <w:rStyle w:val="s1"/>
          <w:rFonts w:ascii="Times New Roman" w:hAnsi="Times New Roman"/>
          <w:color w:val="000000" w:themeColor="text1"/>
          <w:sz w:val="50"/>
          <w:szCs w:val="50"/>
        </w:rPr>
        <w:t xml:space="preserve">&amp; MOOTING </w:t>
      </w:r>
      <w:r w:rsidRPr="007243B0">
        <w:rPr>
          <w:rStyle w:val="s1"/>
          <w:rFonts w:ascii="Times New Roman" w:hAnsi="Times New Roman"/>
          <w:color w:val="000000" w:themeColor="text1"/>
          <w:sz w:val="50"/>
          <w:szCs w:val="50"/>
        </w:rPr>
        <w:t>SOCIETY</w:t>
      </w:r>
    </w:p>
    <w:p w14:paraId="49259F6E" w14:textId="77777777" w:rsidR="00290F74" w:rsidRPr="007243B0" w:rsidRDefault="00290F74">
      <w:pPr>
        <w:pStyle w:val="p1"/>
        <w:rPr>
          <w:rFonts w:ascii="Times New Roman" w:hAnsi="Times New Roman"/>
          <w:color w:val="000000" w:themeColor="text1"/>
          <w:sz w:val="50"/>
          <w:szCs w:val="50"/>
        </w:rPr>
      </w:pPr>
    </w:p>
    <w:p w14:paraId="7F1E0AFF" w14:textId="77777777" w:rsidR="007C46CB" w:rsidRPr="007243B0" w:rsidRDefault="007C46CB">
      <w:pPr>
        <w:pStyle w:val="p2"/>
        <w:rPr>
          <w:rFonts w:ascii="Times New Roman" w:hAnsi="Times New Roman"/>
          <w:color w:val="000000" w:themeColor="text1"/>
          <w:sz w:val="36"/>
          <w:szCs w:val="36"/>
        </w:rPr>
      </w:pPr>
      <w:r w:rsidRPr="007243B0">
        <w:rPr>
          <w:rStyle w:val="s2"/>
          <w:rFonts w:ascii="Times New Roman" w:hAnsi="Times New Roman"/>
          <w:color w:val="000000" w:themeColor="text1"/>
          <w:sz w:val="36"/>
          <w:szCs w:val="36"/>
        </w:rPr>
        <w:t>Mooting Handbook &amp; Guide</w:t>
      </w:r>
    </w:p>
    <w:p w14:paraId="3392A181" w14:textId="5A81E716" w:rsidR="00E81ACF" w:rsidRPr="007243B0" w:rsidRDefault="007C46CB">
      <w:pPr>
        <w:pStyle w:val="p3"/>
        <w:rPr>
          <w:rFonts w:ascii="Times New Roman" w:hAnsi="Times New Roman"/>
          <w:color w:val="000000" w:themeColor="text1"/>
          <w:sz w:val="36"/>
          <w:szCs w:val="36"/>
        </w:rPr>
      </w:pPr>
      <w:r w:rsidRPr="007243B0">
        <w:rPr>
          <w:rStyle w:val="s3"/>
          <w:rFonts w:ascii="Times New Roman" w:hAnsi="Times New Roman"/>
          <w:color w:val="000000" w:themeColor="text1"/>
          <w:sz w:val="36"/>
          <w:szCs w:val="36"/>
        </w:rPr>
        <w:t>(202</w:t>
      </w:r>
      <w:r w:rsidR="007243B0" w:rsidRPr="007243B0">
        <w:rPr>
          <w:rStyle w:val="s3"/>
          <w:rFonts w:ascii="Times New Roman" w:hAnsi="Times New Roman"/>
          <w:color w:val="000000" w:themeColor="text1"/>
          <w:sz w:val="36"/>
          <w:szCs w:val="36"/>
        </w:rPr>
        <w:t>6/27</w:t>
      </w:r>
      <w:r w:rsidRPr="007243B0">
        <w:rPr>
          <w:rStyle w:val="s3"/>
          <w:rFonts w:ascii="Times New Roman" w:hAnsi="Times New Roman"/>
          <w:color w:val="000000" w:themeColor="text1"/>
          <w:sz w:val="36"/>
          <w:szCs w:val="36"/>
        </w:rPr>
        <w:t xml:space="preserve"> Edition)</w:t>
      </w:r>
    </w:p>
    <w:p w14:paraId="1B9E3F13" w14:textId="77777777" w:rsidR="00E81ACF" w:rsidRPr="007243B0" w:rsidRDefault="00E81ACF">
      <w:pPr>
        <w:pStyle w:val="p3"/>
        <w:rPr>
          <w:rFonts w:ascii="Times New Roman" w:hAnsi="Times New Roman"/>
          <w:color w:val="000000" w:themeColor="text1"/>
          <w:sz w:val="36"/>
          <w:szCs w:val="36"/>
        </w:rPr>
      </w:pPr>
    </w:p>
    <w:p w14:paraId="4279D75A" w14:textId="77777777" w:rsidR="00E81ACF" w:rsidRPr="007243B0" w:rsidRDefault="00E81ACF">
      <w:pPr>
        <w:pStyle w:val="p3"/>
        <w:rPr>
          <w:rFonts w:ascii="Times New Roman" w:hAnsi="Times New Roman"/>
          <w:color w:val="000000" w:themeColor="text1"/>
          <w:sz w:val="50"/>
          <w:szCs w:val="50"/>
        </w:rPr>
      </w:pPr>
    </w:p>
    <w:p w14:paraId="69E151B1" w14:textId="77777777" w:rsidR="00E81ACF" w:rsidRPr="007243B0" w:rsidRDefault="00E81ACF">
      <w:pPr>
        <w:pStyle w:val="p3"/>
        <w:rPr>
          <w:rFonts w:ascii="Times New Roman" w:hAnsi="Times New Roman"/>
          <w:color w:val="000000" w:themeColor="text1"/>
          <w:sz w:val="50"/>
          <w:szCs w:val="50"/>
        </w:rPr>
      </w:pPr>
    </w:p>
    <w:p w14:paraId="3C4139A3" w14:textId="77777777" w:rsidR="00E81ACF" w:rsidRPr="007243B0" w:rsidRDefault="00E81ACF">
      <w:pPr>
        <w:pStyle w:val="p3"/>
        <w:rPr>
          <w:rFonts w:ascii="Times New Roman" w:hAnsi="Times New Roman"/>
          <w:color w:val="000000" w:themeColor="text1"/>
          <w:sz w:val="50"/>
          <w:szCs w:val="50"/>
        </w:rPr>
      </w:pPr>
    </w:p>
    <w:p w14:paraId="3B7E9E5C" w14:textId="77777777" w:rsidR="007243B0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  <w:sz w:val="30"/>
          <w:szCs w:val="30"/>
        </w:rPr>
      </w:pPr>
      <w:r w:rsidRPr="007243B0">
        <w:rPr>
          <w:rStyle w:val="s3"/>
          <w:rFonts w:ascii="Times New Roman" w:hAnsi="Times New Roman"/>
          <w:color w:val="000000" w:themeColor="text1"/>
          <w:sz w:val="30"/>
          <w:szCs w:val="30"/>
        </w:rPr>
        <w:t xml:space="preserve">Prepared for the members of the </w:t>
      </w:r>
    </w:p>
    <w:p w14:paraId="0778F0A7" w14:textId="799DF2F5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  <w:sz w:val="30"/>
          <w:szCs w:val="30"/>
        </w:rPr>
      </w:pPr>
      <w:r w:rsidRPr="007243B0">
        <w:rPr>
          <w:rStyle w:val="s3"/>
          <w:rFonts w:ascii="Times New Roman" w:hAnsi="Times New Roman"/>
          <w:color w:val="000000" w:themeColor="text1"/>
          <w:sz w:val="30"/>
          <w:szCs w:val="30"/>
        </w:rPr>
        <w:t xml:space="preserve">Birmingham City University Law </w:t>
      </w:r>
      <w:r w:rsidR="007243B0" w:rsidRPr="007243B0">
        <w:rPr>
          <w:rStyle w:val="s3"/>
          <w:rFonts w:ascii="Times New Roman" w:hAnsi="Times New Roman"/>
          <w:color w:val="000000" w:themeColor="text1"/>
          <w:sz w:val="30"/>
          <w:szCs w:val="30"/>
        </w:rPr>
        <w:t>&amp;</w:t>
      </w:r>
      <w:r w:rsidR="00E81ACF" w:rsidRPr="007243B0">
        <w:rPr>
          <w:rStyle w:val="s3"/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7243B0" w:rsidRPr="007243B0">
        <w:rPr>
          <w:rStyle w:val="s3"/>
          <w:rFonts w:ascii="Times New Roman" w:hAnsi="Times New Roman"/>
          <w:color w:val="000000" w:themeColor="text1"/>
          <w:sz w:val="30"/>
          <w:szCs w:val="30"/>
        </w:rPr>
        <w:t>Debating</w:t>
      </w:r>
      <w:r w:rsidR="00E81ACF" w:rsidRPr="007243B0">
        <w:rPr>
          <w:rStyle w:val="s3"/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Pr="007243B0">
        <w:rPr>
          <w:rStyle w:val="s3"/>
          <w:rFonts w:ascii="Times New Roman" w:hAnsi="Times New Roman"/>
          <w:color w:val="000000" w:themeColor="text1"/>
          <w:sz w:val="30"/>
          <w:szCs w:val="30"/>
        </w:rPr>
        <w:t>Society.</w:t>
      </w:r>
    </w:p>
    <w:p w14:paraId="50786B43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  <w:sz w:val="30"/>
          <w:szCs w:val="30"/>
        </w:rPr>
      </w:pPr>
    </w:p>
    <w:p w14:paraId="420CB5CA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  <w:sz w:val="30"/>
          <w:szCs w:val="30"/>
        </w:rPr>
      </w:pPr>
    </w:p>
    <w:p w14:paraId="28C99E52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  <w:sz w:val="30"/>
          <w:szCs w:val="30"/>
        </w:rPr>
      </w:pPr>
    </w:p>
    <w:p w14:paraId="6E21518A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758FCA74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2113B409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56BE31AB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43D0EF76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4C41B3B2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4413BFEC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2E1DD683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2E0FE8B6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6E5A9137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49DA9F3D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3A24160B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4B82250B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0F04BC57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554881CA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1C530A94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2A6B5D45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540DE05D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4D05D942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06CD10A2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20088F1B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1639E78A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775E0653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535C074B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245EEF64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06D7A303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10CEE563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58BD7E4A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155FA7D9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30F8D6D6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781F1186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4BA9A90A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54E732B3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1CA28607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6C0A0801" w14:textId="77777777" w:rsidR="007C46CB" w:rsidRPr="007243B0" w:rsidRDefault="007C46CB">
      <w:pPr>
        <w:pStyle w:val="p3"/>
        <w:rPr>
          <w:rFonts w:ascii="Times New Roman" w:hAnsi="Times New Roman"/>
          <w:color w:val="000000" w:themeColor="text1"/>
        </w:rPr>
      </w:pPr>
    </w:p>
    <w:p w14:paraId="13C6FD0A" w14:textId="77777777" w:rsidR="00566316" w:rsidRPr="007243B0" w:rsidRDefault="00566316">
      <w:pPr>
        <w:pStyle w:val="p3"/>
        <w:rPr>
          <w:rFonts w:ascii="Times New Roman" w:hAnsi="Times New Roman"/>
          <w:color w:val="000000" w:themeColor="text1"/>
        </w:rPr>
      </w:pPr>
    </w:p>
    <w:p w14:paraId="45B4F742" w14:textId="6019CEC9" w:rsidR="007C46CB" w:rsidRPr="007243B0" w:rsidRDefault="007C46CB">
      <w:pPr>
        <w:pStyle w:val="p4"/>
        <w:rPr>
          <w:rStyle w:val="s2"/>
          <w:rFonts w:ascii="Times New Roman" w:hAnsi="Times New Roman"/>
          <w:b/>
          <w:bCs/>
          <w:color w:val="000000" w:themeColor="text1"/>
          <w:sz w:val="40"/>
          <w:szCs w:val="40"/>
        </w:rPr>
      </w:pPr>
      <w:r w:rsidRPr="007243B0">
        <w:rPr>
          <w:rStyle w:val="s2"/>
          <w:rFonts w:ascii="Times New Roman" w:hAnsi="Times New Roman"/>
          <w:b/>
          <w:bCs/>
          <w:color w:val="000000" w:themeColor="text1"/>
          <w:sz w:val="40"/>
          <w:szCs w:val="40"/>
        </w:rPr>
        <w:t xml:space="preserve">A Message from the </w:t>
      </w:r>
      <w:r w:rsidR="007243B0" w:rsidRPr="007243B0">
        <w:rPr>
          <w:rStyle w:val="s2"/>
          <w:rFonts w:ascii="Times New Roman" w:hAnsi="Times New Roman"/>
          <w:b/>
          <w:bCs/>
          <w:color w:val="000000" w:themeColor="text1"/>
          <w:sz w:val="40"/>
          <w:szCs w:val="40"/>
        </w:rPr>
        <w:t>President</w:t>
      </w:r>
      <w:r w:rsidRPr="007243B0">
        <w:rPr>
          <w:rStyle w:val="s2"/>
          <w:rFonts w:ascii="Times New Roman" w:hAnsi="Times New Roman"/>
          <w:b/>
          <w:bCs/>
          <w:color w:val="000000" w:themeColor="text1"/>
          <w:sz w:val="40"/>
          <w:szCs w:val="40"/>
        </w:rPr>
        <w:t xml:space="preserve"> of the BCU Law Society</w:t>
      </w:r>
    </w:p>
    <w:p w14:paraId="7454CEF9" w14:textId="77777777" w:rsidR="001F5E87" w:rsidRPr="007243B0" w:rsidRDefault="001F5E87">
      <w:pPr>
        <w:pStyle w:val="p4"/>
        <w:rPr>
          <w:rFonts w:ascii="Times New Roman" w:hAnsi="Times New Roman"/>
          <w:b/>
          <w:bCs/>
          <w:color w:val="000000" w:themeColor="text1"/>
          <w:sz w:val="36"/>
          <w:szCs w:val="36"/>
        </w:rPr>
      </w:pPr>
    </w:p>
    <w:p w14:paraId="0869FC19" w14:textId="33016E14" w:rsidR="001D03E5" w:rsidRPr="007243B0" w:rsidRDefault="001D03E5" w:rsidP="00467D38">
      <w:pPr>
        <w:pStyle w:val="p3"/>
        <w:jc w:val="center"/>
        <w:rPr>
          <w:rStyle w:val="s3"/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“</w:t>
      </w:r>
      <w:r w:rsidR="007C46CB"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Mooting stands at the core of legal education.</w:t>
      </w:r>
    </w:p>
    <w:p w14:paraId="034C89D0" w14:textId="55451A77" w:rsidR="007C46CB" w:rsidRPr="007243B0" w:rsidRDefault="007C46CB" w:rsidP="00467D38">
      <w:pPr>
        <w:pStyle w:val="p3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It is where knowledge meets persuasion, and where</w:t>
      </w:r>
      <w:r w:rsidR="001D03E5" w:rsidRPr="007243B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students begin to think, speak, and reason like advocates. Within the courtroom, precision and</w:t>
      </w:r>
      <w:r w:rsidR="003262F4" w:rsidRPr="007243B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preparation define success</w:t>
      </w:r>
      <w:r w:rsidR="003262F4"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 xml:space="preserve">: </w:t>
      </w: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every word, pause, and argument matters.</w:t>
      </w:r>
    </w:p>
    <w:p w14:paraId="3BFECB7C" w14:textId="546340A2" w:rsidR="007C46CB" w:rsidRPr="007243B0" w:rsidRDefault="007C46CB" w:rsidP="007243B0">
      <w:pPr>
        <w:pStyle w:val="p3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This Handbook and Guide exist to equip members of the B</w:t>
      </w:r>
      <w:r w:rsidR="00C277A0"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CU</w:t>
      </w: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 xml:space="preserve"> Law Society</w:t>
      </w:r>
      <w:r w:rsidR="00C277A0" w:rsidRPr="007243B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with the standards, discipline, and confidence needed to excel. It is written not only for today’s</w:t>
      </w:r>
      <w:r w:rsidR="00AA190B" w:rsidRPr="007243B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mooters but for those who will follow, reflecting our Society’s long-term commitment to</w:t>
      </w:r>
      <w:r w:rsidR="007243B0" w:rsidRPr="007243B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professionalism and excellence.</w:t>
      </w:r>
    </w:p>
    <w:p w14:paraId="13C855DC" w14:textId="4EF1F2EE" w:rsidR="006F337A" w:rsidRPr="007243B0" w:rsidRDefault="007C46CB" w:rsidP="00467D38">
      <w:pPr>
        <w:pStyle w:val="p3"/>
        <w:jc w:val="center"/>
        <w:rPr>
          <w:rStyle w:val="s3"/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Through mooting, we learn to argue with clarity, to listen with understanding, and to uphold the</w:t>
      </w:r>
      <w:r w:rsidR="004B50C7" w:rsidRPr="007243B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 xml:space="preserve">values of integrity and respect that define our </w:t>
      </w:r>
      <w:r w:rsidR="003D091D"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 xml:space="preserve">passion and </w:t>
      </w: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profession. May this document serve as both a guide</w:t>
      </w:r>
      <w:r w:rsidR="004B50C7" w:rsidRPr="007243B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and a reminder that every argument made with intellect and honesty strengthens our Society and the</w:t>
      </w:r>
      <w:r w:rsidR="004B50C7" w:rsidRPr="007243B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law itself.</w:t>
      </w:r>
      <w:r w:rsidR="001D03E5"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”</w:t>
      </w:r>
    </w:p>
    <w:p w14:paraId="165A0027" w14:textId="77777777" w:rsidR="00467D38" w:rsidRPr="007243B0" w:rsidRDefault="00467D38" w:rsidP="00467D38">
      <w:pPr>
        <w:pStyle w:val="p3"/>
        <w:jc w:val="center"/>
        <w:rPr>
          <w:rStyle w:val="s3"/>
          <w:rFonts w:ascii="Times New Roman" w:hAnsi="Times New Roman"/>
          <w:color w:val="000000" w:themeColor="text1"/>
          <w:sz w:val="28"/>
          <w:szCs w:val="28"/>
        </w:rPr>
      </w:pPr>
    </w:p>
    <w:p w14:paraId="33500688" w14:textId="77777777" w:rsidR="00467D38" w:rsidRPr="007243B0" w:rsidRDefault="00467D38" w:rsidP="00467D38">
      <w:pPr>
        <w:pStyle w:val="p3"/>
        <w:jc w:val="center"/>
        <w:rPr>
          <w:rStyle w:val="s3"/>
          <w:rFonts w:ascii="Times New Roman" w:hAnsi="Times New Roman"/>
          <w:color w:val="000000" w:themeColor="text1"/>
          <w:sz w:val="28"/>
          <w:szCs w:val="28"/>
        </w:rPr>
      </w:pPr>
    </w:p>
    <w:p w14:paraId="3D474665" w14:textId="275D314D" w:rsidR="00467D38" w:rsidRPr="007243B0" w:rsidRDefault="00467D38" w:rsidP="00467D38">
      <w:pPr>
        <w:pStyle w:val="p3"/>
        <w:numPr>
          <w:ilvl w:val="0"/>
          <w:numId w:val="22"/>
        </w:numPr>
        <w:jc w:val="center"/>
        <w:rPr>
          <w:rStyle w:val="s3"/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Armaanpreet S.</w:t>
      </w:r>
      <w:r w:rsidR="00E16371"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7243B0"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President</w:t>
      </w:r>
      <w:r w:rsidR="00E16371"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 xml:space="preserve"> 202</w:t>
      </w:r>
      <w:r w:rsidR="007243B0"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6</w:t>
      </w:r>
      <w:r w:rsidR="00E16371"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/2</w:t>
      </w:r>
      <w:r w:rsidR="007243B0"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7</w:t>
      </w:r>
      <w:r w:rsidR="00E16371"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)</w:t>
      </w:r>
    </w:p>
    <w:p w14:paraId="1B57BFC8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12EDBB67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06808BFD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34FFE328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20D18934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2DA493E3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6FEEFFC0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436B200B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79976279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6F5EEEB9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1B779985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54B059EC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3BF00A15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0BD073B6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5F365B22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6666982C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63D5B225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25639BE0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668937E5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5695F3CC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6B68CA03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55393E38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07A2F1A8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2F80971A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4CCE442C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2543EBAC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6D4CC07F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71CD04E7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3BA1C4C2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2C9A060A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46411A9F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067D1F41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721B9174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391B6ED4" w14:textId="77777777" w:rsidR="005F2B40" w:rsidRPr="007243B0" w:rsidRDefault="005F2B40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194A4A2B" w14:textId="77777777" w:rsidR="006F337A" w:rsidRPr="007243B0" w:rsidRDefault="006F337A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5641596B" w14:textId="26A8156A" w:rsidR="007C46CB" w:rsidRPr="007243B0" w:rsidRDefault="007C46CB">
      <w:pPr>
        <w:pStyle w:val="p3"/>
        <w:rPr>
          <w:rStyle w:val="s3"/>
          <w:rFonts w:ascii="Times New Roman" w:hAnsi="Times New Roman"/>
          <w:b/>
          <w:bCs/>
          <w:color w:val="000000" w:themeColor="text1"/>
          <w:sz w:val="40"/>
          <w:szCs w:val="40"/>
        </w:rPr>
      </w:pPr>
      <w:r w:rsidRPr="007243B0">
        <w:rPr>
          <w:rStyle w:val="s3"/>
          <w:rFonts w:ascii="Times New Roman" w:hAnsi="Times New Roman"/>
          <w:b/>
          <w:bCs/>
          <w:color w:val="000000" w:themeColor="text1"/>
          <w:sz w:val="40"/>
          <w:szCs w:val="40"/>
        </w:rPr>
        <w:t>Contents</w:t>
      </w:r>
    </w:p>
    <w:p w14:paraId="33457DD8" w14:textId="77777777" w:rsidR="00061B61" w:rsidRPr="007243B0" w:rsidRDefault="00061B61">
      <w:pPr>
        <w:pStyle w:val="p3"/>
        <w:rPr>
          <w:rFonts w:ascii="Times New Roman" w:hAnsi="Times New Roman"/>
          <w:b/>
          <w:bCs/>
          <w:color w:val="000000" w:themeColor="text1"/>
          <w:sz w:val="40"/>
          <w:szCs w:val="40"/>
        </w:rPr>
      </w:pPr>
    </w:p>
    <w:p w14:paraId="2410529D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Part I ‒ The Mooting Handbook</w:t>
      </w:r>
    </w:p>
    <w:p w14:paraId="3FBB1AE6" w14:textId="77777777" w:rsidR="00061B61" w:rsidRPr="007243B0" w:rsidRDefault="00061B61">
      <w:pPr>
        <w:pStyle w:val="p3"/>
        <w:rPr>
          <w:rFonts w:ascii="Times New Roman" w:hAnsi="Times New Roman"/>
          <w:color w:val="000000" w:themeColor="text1"/>
          <w:sz w:val="28"/>
          <w:szCs w:val="28"/>
        </w:rPr>
      </w:pPr>
    </w:p>
    <w:p w14:paraId="213E045D" w14:textId="77777777" w:rsidR="007C46CB" w:rsidRPr="007243B0" w:rsidRDefault="007C46CB" w:rsidP="00001189">
      <w:pPr>
        <w:pStyle w:val="p3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1. Purpose and Objectives</w:t>
      </w:r>
    </w:p>
    <w:p w14:paraId="633A2785" w14:textId="77777777" w:rsidR="007C46CB" w:rsidRPr="007243B0" w:rsidRDefault="007C46CB" w:rsidP="00001189">
      <w:pPr>
        <w:pStyle w:val="p3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2. Moot Structure and Format</w:t>
      </w:r>
    </w:p>
    <w:p w14:paraId="490AFAF3" w14:textId="77777777" w:rsidR="007C46CB" w:rsidRPr="007243B0" w:rsidRDefault="007C46CB" w:rsidP="00001189">
      <w:pPr>
        <w:pStyle w:val="p3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3. Professional Conduct and Standards</w:t>
      </w:r>
    </w:p>
    <w:p w14:paraId="454A09C1" w14:textId="77777777" w:rsidR="007C46CB" w:rsidRPr="007243B0" w:rsidRDefault="007C46CB" w:rsidP="00001189">
      <w:pPr>
        <w:pStyle w:val="p3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4. Use of Materials and Sources</w:t>
      </w:r>
    </w:p>
    <w:p w14:paraId="446503E9" w14:textId="77777777" w:rsidR="007C46CB" w:rsidRPr="007243B0" w:rsidRDefault="007C46CB" w:rsidP="00001189">
      <w:pPr>
        <w:pStyle w:val="p3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5. Use of Artificial Intelligence</w:t>
      </w:r>
    </w:p>
    <w:p w14:paraId="7253D077" w14:textId="77777777" w:rsidR="007C46CB" w:rsidRPr="007243B0" w:rsidRDefault="007C46CB" w:rsidP="00001189">
      <w:pPr>
        <w:pStyle w:val="p3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6. Scoring and Evaluation</w:t>
      </w:r>
    </w:p>
    <w:p w14:paraId="147168BC" w14:textId="77777777" w:rsidR="007C46CB" w:rsidRPr="007243B0" w:rsidRDefault="007C46CB" w:rsidP="00001189">
      <w:pPr>
        <w:pStyle w:val="p3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7. Administrative Rules and Deadlines</w:t>
      </w:r>
    </w:p>
    <w:p w14:paraId="5DCB9F61" w14:textId="77777777" w:rsidR="007C46CB" w:rsidRPr="007243B0" w:rsidRDefault="007C46CB" w:rsidP="00001189">
      <w:pPr>
        <w:pStyle w:val="p3"/>
        <w:ind w:left="720"/>
        <w:rPr>
          <w:rStyle w:val="s3"/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8. Disciplinary Procedures</w:t>
      </w:r>
    </w:p>
    <w:p w14:paraId="00106382" w14:textId="77777777" w:rsidR="00061B61" w:rsidRPr="007243B0" w:rsidRDefault="00061B61">
      <w:pPr>
        <w:pStyle w:val="p3"/>
        <w:rPr>
          <w:rFonts w:ascii="Times New Roman" w:hAnsi="Times New Roman"/>
          <w:color w:val="000000" w:themeColor="text1"/>
          <w:sz w:val="28"/>
          <w:szCs w:val="28"/>
        </w:rPr>
      </w:pPr>
    </w:p>
    <w:p w14:paraId="67AE3715" w14:textId="77777777" w:rsidR="007C46CB" w:rsidRPr="007243B0" w:rsidRDefault="007C46CB">
      <w:pPr>
        <w:pStyle w:val="p3"/>
        <w:rPr>
          <w:rStyle w:val="s3"/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Part II ‒ The Mooting Guide</w:t>
      </w:r>
    </w:p>
    <w:p w14:paraId="15974A5B" w14:textId="77777777" w:rsidR="00061B61" w:rsidRPr="007243B0" w:rsidRDefault="00061B61">
      <w:pPr>
        <w:pStyle w:val="p3"/>
        <w:rPr>
          <w:rFonts w:ascii="Times New Roman" w:hAnsi="Times New Roman"/>
          <w:color w:val="000000" w:themeColor="text1"/>
          <w:sz w:val="28"/>
          <w:szCs w:val="28"/>
        </w:rPr>
      </w:pPr>
    </w:p>
    <w:p w14:paraId="21842195" w14:textId="77777777" w:rsidR="007C46CB" w:rsidRPr="007243B0" w:rsidRDefault="007C46CB" w:rsidP="00001189">
      <w:pPr>
        <w:pStyle w:val="p3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1. What is a Moot and Why It Matters</w:t>
      </w:r>
    </w:p>
    <w:p w14:paraId="65091BC1" w14:textId="77777777" w:rsidR="007C46CB" w:rsidRPr="007243B0" w:rsidRDefault="007C46CB" w:rsidP="00001189">
      <w:pPr>
        <w:pStyle w:val="p3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2. Understanding the Moot Problem</w:t>
      </w:r>
    </w:p>
    <w:p w14:paraId="297AB805" w14:textId="77777777" w:rsidR="007C46CB" w:rsidRPr="007243B0" w:rsidRDefault="007C46CB" w:rsidP="00001189">
      <w:pPr>
        <w:pStyle w:val="p3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3. How to Research the Law</w:t>
      </w:r>
    </w:p>
    <w:p w14:paraId="63F269C9" w14:textId="77777777" w:rsidR="007C46CB" w:rsidRPr="007243B0" w:rsidRDefault="007C46CB" w:rsidP="00001189">
      <w:pPr>
        <w:pStyle w:val="p3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4. Preparing the Moot Bundle</w:t>
      </w:r>
    </w:p>
    <w:p w14:paraId="65D13948" w14:textId="77777777" w:rsidR="007C46CB" w:rsidRPr="007243B0" w:rsidRDefault="007C46CB" w:rsidP="00001189">
      <w:pPr>
        <w:pStyle w:val="p3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5. Writing a Skeleton Argument</w:t>
      </w:r>
    </w:p>
    <w:p w14:paraId="268F6343" w14:textId="77777777" w:rsidR="007C46CB" w:rsidRPr="007243B0" w:rsidRDefault="007C46CB" w:rsidP="00001189">
      <w:pPr>
        <w:pStyle w:val="p3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6. Delivering Oral Submissions</w:t>
      </w:r>
    </w:p>
    <w:p w14:paraId="65DFCE97" w14:textId="77777777" w:rsidR="007C46CB" w:rsidRPr="007243B0" w:rsidRDefault="007C46CB" w:rsidP="00001189">
      <w:pPr>
        <w:pStyle w:val="p3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7. Rebuttals and Judicial Interaction</w:t>
      </w:r>
    </w:p>
    <w:p w14:paraId="56055B1C" w14:textId="77777777" w:rsidR="007C46CB" w:rsidRPr="007243B0" w:rsidRDefault="007C46CB" w:rsidP="00001189">
      <w:pPr>
        <w:pStyle w:val="p3"/>
        <w:ind w:left="720"/>
        <w:rPr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8. Common Mistakes and Logical Fallacies</w:t>
      </w:r>
    </w:p>
    <w:p w14:paraId="26851C5D" w14:textId="18496891" w:rsidR="007C46CB" w:rsidRPr="007243B0" w:rsidRDefault="007C46CB" w:rsidP="00001189">
      <w:pPr>
        <w:pStyle w:val="p3"/>
        <w:ind w:left="720"/>
        <w:rPr>
          <w:rStyle w:val="s3"/>
          <w:rFonts w:ascii="Times New Roman" w:hAnsi="Times New Roman"/>
          <w:color w:val="000000" w:themeColor="text1"/>
          <w:sz w:val="28"/>
          <w:szCs w:val="28"/>
        </w:rPr>
      </w:pPr>
      <w:r w:rsidRPr="007243B0">
        <w:rPr>
          <w:rStyle w:val="s3"/>
          <w:rFonts w:ascii="Times New Roman" w:hAnsi="Times New Roman"/>
          <w:color w:val="000000" w:themeColor="text1"/>
          <w:sz w:val="28"/>
          <w:szCs w:val="28"/>
        </w:rPr>
        <w:t>9. Advanced Preparation and Continuing Development</w:t>
      </w:r>
    </w:p>
    <w:p w14:paraId="7E4C14DC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0FF473B4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293CBA17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5345C401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7E39CA30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68D613B1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5E0EAFF5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1CEC3D3E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58513084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657971A9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466EA136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24EBDF2E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5E2C745D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3DDED22D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19FBFCED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1A1714A9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10015076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31C47744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4210C599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7FAFB685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1B609747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6490476A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2B2812E0" w14:textId="77777777" w:rsidR="004579C5" w:rsidRPr="007243B0" w:rsidRDefault="004579C5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581272F4" w14:textId="77777777" w:rsidR="00001189" w:rsidRPr="007243B0" w:rsidRDefault="00001189" w:rsidP="00001189">
      <w:pPr>
        <w:pStyle w:val="p3"/>
        <w:rPr>
          <w:rStyle w:val="s3"/>
          <w:rFonts w:ascii="Times New Roman" w:hAnsi="Times New Roman"/>
          <w:color w:val="000000" w:themeColor="text1"/>
        </w:rPr>
      </w:pPr>
    </w:p>
    <w:p w14:paraId="06D7122E" w14:textId="77777777" w:rsidR="00FF69BA" w:rsidRPr="007243B0" w:rsidRDefault="00FF69BA" w:rsidP="00887C60">
      <w:pPr>
        <w:pStyle w:val="p3"/>
        <w:rPr>
          <w:rStyle w:val="s3"/>
          <w:rFonts w:ascii="Times New Roman" w:hAnsi="Times New Roman"/>
          <w:b/>
          <w:bCs/>
          <w:color w:val="000000" w:themeColor="text1"/>
          <w:sz w:val="56"/>
          <w:szCs w:val="56"/>
        </w:rPr>
      </w:pPr>
      <w:r w:rsidRPr="007243B0">
        <w:rPr>
          <w:rStyle w:val="s3"/>
          <w:rFonts w:ascii="Times New Roman" w:hAnsi="Times New Roman"/>
          <w:b/>
          <w:bCs/>
          <w:color w:val="000000" w:themeColor="text1"/>
          <w:sz w:val="56"/>
          <w:szCs w:val="56"/>
        </w:rPr>
        <w:lastRenderedPageBreak/>
        <w:t>Part I ‒ The Mooting Handbook</w:t>
      </w:r>
    </w:p>
    <w:p w14:paraId="321D33E6" w14:textId="2523CE61" w:rsidR="00553DA5" w:rsidRPr="007243B0" w:rsidRDefault="00553DA5" w:rsidP="00887C60">
      <w:pPr>
        <w:pStyle w:val="p3"/>
        <w:rPr>
          <w:rStyle w:val="s3"/>
          <w:rFonts w:ascii="Times New Roman" w:hAnsi="Times New Roman"/>
          <w:b/>
          <w:bCs/>
          <w:color w:val="000000" w:themeColor="text1"/>
          <w:sz w:val="56"/>
          <w:szCs w:val="56"/>
        </w:rPr>
      </w:pPr>
      <w:r w:rsidRPr="007243B0">
        <w:rPr>
          <w:rFonts w:ascii="Times New Roman" w:eastAsia="Times New Roman" w:hAnsi="Times New Roman"/>
          <w:noProof/>
          <w:color w:val="000000" w:themeColor="text1"/>
        </w:rPr>
        <mc:AlternateContent>
          <mc:Choice Requires="wps">
            <w:drawing>
              <wp:inline distT="0" distB="0" distL="0" distR="0" wp14:anchorId="69B1219F" wp14:editId="4B63CE6B">
                <wp:extent cx="5943600" cy="1270"/>
                <wp:effectExtent l="0" t="31750" r="0" b="36830"/>
                <wp:docPr id="1635515651" name="Rectangl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563C48B8" id="Rectangle 9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</w:p>
    <w:p w14:paraId="3B7593C4" w14:textId="74E5B8F5" w:rsidR="004603D8" w:rsidRPr="007243B0" w:rsidRDefault="004603D8" w:rsidP="009A1AA0">
      <w:pPr>
        <w:pStyle w:val="p3"/>
        <w:rPr>
          <w:rFonts w:ascii="Times New Roman" w:hAnsi="Times New Roman"/>
          <w:b/>
          <w:bCs/>
          <w:color w:val="000000" w:themeColor="text1"/>
          <w:sz w:val="40"/>
          <w:szCs w:val="40"/>
        </w:rPr>
      </w:pPr>
      <w:r w:rsidRPr="007243B0">
        <w:rPr>
          <w:rFonts w:ascii="Times New Roman" w:eastAsia="Times New Roman" w:hAnsi="Times New Roman"/>
          <w:b/>
          <w:bCs/>
          <w:color w:val="000000" w:themeColor="text1"/>
          <w:sz w:val="40"/>
          <w:szCs w:val="40"/>
        </w:rPr>
        <w:t>Section 1 – Purpose and Objectives</w:t>
      </w:r>
    </w:p>
    <w:p w14:paraId="28B2A3A4" w14:textId="77777777" w:rsidR="004603D8" w:rsidRPr="007243B0" w:rsidRDefault="004603D8" w:rsidP="004603D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Mooting within the Birmingham City University Law Society is designed to develop the analytical, research and advocacy skills essential to the study and practice of law.</w:t>
      </w:r>
    </w:p>
    <w:p w14:paraId="683C9175" w14:textId="77777777" w:rsidR="004603D8" w:rsidRPr="007243B0" w:rsidRDefault="004603D8" w:rsidP="004603D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It allows students to:</w:t>
      </w:r>
    </w:p>
    <w:p w14:paraId="76A52F42" w14:textId="77777777" w:rsidR="004603D8" w:rsidRPr="007243B0" w:rsidRDefault="004603D8" w:rsidP="004603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Apply legal principles to complex fact patterns;</w:t>
      </w:r>
    </w:p>
    <w:p w14:paraId="3A12FD8C" w14:textId="77777777" w:rsidR="004603D8" w:rsidRPr="007243B0" w:rsidRDefault="004603D8" w:rsidP="004603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Practise courtroom etiquette and persuasive communication;</w:t>
      </w:r>
    </w:p>
    <w:p w14:paraId="0595C665" w14:textId="77777777" w:rsidR="004603D8" w:rsidRPr="007243B0" w:rsidRDefault="004603D8" w:rsidP="004603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Engage critically with case law and statute; and</w:t>
      </w:r>
    </w:p>
    <w:p w14:paraId="5DE8BEB2" w14:textId="77777777" w:rsidR="004603D8" w:rsidRPr="007243B0" w:rsidRDefault="004603D8" w:rsidP="004603D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Represent the University with integrity in regional and national competitions.</w:t>
      </w:r>
    </w:p>
    <w:p w14:paraId="44E8A0BC" w14:textId="77777777" w:rsidR="004603D8" w:rsidRPr="007243B0" w:rsidRDefault="004603D8" w:rsidP="004603D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2B6B1F9E" w14:textId="77777777" w:rsidR="004603D8" w:rsidRPr="007243B0" w:rsidRDefault="004603D8" w:rsidP="004603D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Participation in any moot organised by the Society constitutes agreement to abide by this Handbook and any directions issued by the President or Secretary.</w:t>
      </w:r>
    </w:p>
    <w:p w14:paraId="47A8C9A3" w14:textId="77777777" w:rsidR="004603D8" w:rsidRPr="007243B0" w:rsidRDefault="004603D8" w:rsidP="004603D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243B0">
        <w:rPr>
          <w:rFonts w:ascii="Times New Roman" w:eastAsia="Times New Roman" w:hAnsi="Times New Roman" w:cs="Times New Roman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661331D3" wp14:editId="096B6A70">
                <wp:extent cx="5943600" cy="1270"/>
                <wp:effectExtent l="0" t="31750" r="0" b="36830"/>
                <wp:docPr id="1307676917" name="Rectangl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BEAE50F" id="Rectangle 9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</w:p>
    <w:p w14:paraId="314C58DE" w14:textId="77777777" w:rsidR="004603D8" w:rsidRPr="007243B0" w:rsidRDefault="004603D8" w:rsidP="004603D8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color w:val="000000" w:themeColor="text1"/>
          <w:kern w:val="0"/>
          <w:sz w:val="40"/>
          <w:szCs w:val="40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40"/>
          <w:szCs w:val="40"/>
          <w14:ligatures w14:val="none"/>
        </w:rPr>
        <w:t xml:space="preserve">Section 2 – </w:t>
      </w:r>
      <w:proofErr w:type="spellStart"/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40"/>
          <w:szCs w:val="40"/>
          <w14:ligatures w14:val="none"/>
        </w:rPr>
        <w:t>Moot</w:t>
      </w:r>
      <w:proofErr w:type="spellEnd"/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40"/>
          <w:szCs w:val="40"/>
          <w14:ligatures w14:val="none"/>
        </w:rPr>
        <w:t xml:space="preserve"> Structure and Format</w:t>
      </w:r>
    </w:p>
    <w:p w14:paraId="58FA10A4" w14:textId="77777777" w:rsidR="004603D8" w:rsidRPr="007243B0" w:rsidRDefault="004603D8" w:rsidP="004603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Participants</w:t>
      </w:r>
    </w:p>
    <w:p w14:paraId="400F4CCF" w14:textId="4D6A8E06" w:rsidR="0037667B" w:rsidRPr="007243B0" w:rsidRDefault="004603D8" w:rsidP="0037667B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Each moot consists of two opposing parties: the Appellant and the Respondent. Unless otherwise specified, there will be one Counsel per side</w:t>
      </w:r>
      <w:r w:rsidR="0037667B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for internal competitions, however </w:t>
      </w:r>
      <w:r w:rsidR="00E60097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on external occasions, each side is usually divided in </w:t>
      </w:r>
      <w:r w:rsidR="00561A4D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Leading Counsel and Junior Counsel.</w:t>
      </w:r>
    </w:p>
    <w:p w14:paraId="73993A8B" w14:textId="77777777" w:rsidR="004603D8" w:rsidRPr="007243B0" w:rsidRDefault="004603D8" w:rsidP="004603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Time Limits</w:t>
      </w:r>
    </w:p>
    <w:p w14:paraId="5867E439" w14:textId="77777777" w:rsidR="004603D8" w:rsidRPr="007243B0" w:rsidRDefault="004603D8" w:rsidP="004603D8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Each Counsel shall have 10 minutes to present submissions on all Grounds of Appeal.</w:t>
      </w:r>
    </w:p>
    <w:p w14:paraId="24AB56F8" w14:textId="6C3D2E96" w:rsidR="004603D8" w:rsidRPr="007243B0" w:rsidRDefault="004603D8" w:rsidP="004603D8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Competitors should devote approximately 5 minutes to Ground 1 and share the remaining time between Grounds 2 and 3</w:t>
      </w:r>
      <w:r w:rsidR="003A79D2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(if present)</w:t>
      </w: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.</w:t>
      </w:r>
    </w:p>
    <w:p w14:paraId="5C343006" w14:textId="77777777" w:rsidR="004603D8" w:rsidRPr="007243B0" w:rsidRDefault="004603D8" w:rsidP="004603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lastRenderedPageBreak/>
        <w:t>Order of Proceedings</w:t>
      </w:r>
    </w:p>
    <w:p w14:paraId="59233E67" w14:textId="348B301A" w:rsidR="004603D8" w:rsidRPr="007243B0" w:rsidRDefault="004603D8" w:rsidP="004603D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Appellant’s submissions (</w:t>
      </w:r>
      <w:r w:rsidR="003A79D2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10</w:t>
      </w: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minutes)</w:t>
      </w:r>
    </w:p>
    <w:p w14:paraId="381DE8A9" w14:textId="3CA8B645" w:rsidR="004603D8" w:rsidRPr="007243B0" w:rsidRDefault="00920A79" w:rsidP="004603D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Respondent</w:t>
      </w:r>
      <w:r w:rsidR="00DF3142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’s submissions (</w:t>
      </w:r>
      <w:r w:rsidR="003A79D2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10</w:t>
      </w:r>
      <w:r w:rsidR="00DF3142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minutes)</w:t>
      </w:r>
    </w:p>
    <w:p w14:paraId="6E735CCE" w14:textId="59C24C49" w:rsidR="004603D8" w:rsidRPr="007243B0" w:rsidRDefault="00DF3142" w:rsidP="004603D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Appellant’s </w:t>
      </w:r>
      <w:r w:rsidR="00EB58B1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Rebuttal (</w:t>
      </w:r>
      <w:r w:rsidR="003A79D2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2</w:t>
      </w:r>
      <w:r w:rsidR="00EB58B1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minutes</w:t>
      </w:r>
      <w:r w:rsidR="0086031E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)</w:t>
      </w:r>
    </w:p>
    <w:p w14:paraId="7B7901F5" w14:textId="48FAAF8F" w:rsidR="00152832" w:rsidRPr="00152832" w:rsidRDefault="0086031E" w:rsidP="0015283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Respondent</w:t>
      </w:r>
      <w:r w:rsidR="00E53DDC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’s Rebuttal (</w:t>
      </w:r>
      <w:r w:rsidR="003A79D2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2</w:t>
      </w:r>
      <w:r w:rsidR="00E53DDC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minutes)</w:t>
      </w:r>
    </w:p>
    <w:p w14:paraId="02220CA2" w14:textId="77777777" w:rsidR="004603D8" w:rsidRPr="007243B0" w:rsidRDefault="004603D8" w:rsidP="004603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Questions from the Bench</w:t>
      </w:r>
    </w:p>
    <w:p w14:paraId="6F4B43AB" w14:textId="6374BDF5" w:rsidR="004603D8" w:rsidRPr="007243B0" w:rsidRDefault="004603D8" w:rsidP="004603D8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Judges may interrupt at any stage to test the advocate’s reasoning or identify weaknesses. Clear, respectful </w:t>
      </w:r>
      <w:r w:rsidR="005F3E39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and thorough </w:t>
      </w: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responses are expected.</w:t>
      </w:r>
    </w:p>
    <w:p w14:paraId="356FE665" w14:textId="0FC52159" w:rsidR="004603D8" w:rsidRPr="007243B0" w:rsidRDefault="004603D8" w:rsidP="004603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Bundles</w:t>
      </w:r>
      <w:r w:rsidR="009054F9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,</w:t>
      </w: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 xml:space="preserve"> Skeleton Arguments</w:t>
      </w:r>
      <w:r w:rsidR="009054F9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 xml:space="preserve"> and Authorities</w:t>
      </w:r>
    </w:p>
    <w:p w14:paraId="20E6710F" w14:textId="2FF941FC" w:rsidR="004603D8" w:rsidRDefault="004603D8" w:rsidP="004603D8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Competitors must prepare a Moot Bundle</w:t>
      </w:r>
      <w:r w:rsidR="00152832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, which also contains a</w:t>
      </w: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Skeleton Argument in accordance with the guidance in Part II of this document.</w:t>
      </w:r>
      <w:r w:rsidR="005F3E39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These must be submitted by the deadline provided. No </w:t>
      </w:r>
      <w:r w:rsidR="00E1516B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discretionary time will be allowed for lateness.</w:t>
      </w:r>
      <w:r w:rsidR="009054F9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</w:t>
      </w:r>
    </w:p>
    <w:p w14:paraId="2A9566A5" w14:textId="7723AD1D" w:rsidR="009054F9" w:rsidRPr="007243B0" w:rsidRDefault="009054F9" w:rsidP="004603D8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The Skeleton Argument section has a limit of max. 2 pages (containing headings and Counsel Name). 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ab/>
        <w:t>Authorities are limited to what has already been mentioned in the Scenario + an EXTRA 2 Authorities for the entirety of the Bundle (to be used at the mooters’ discretion).</w:t>
      </w:r>
    </w:p>
    <w:p w14:paraId="438C010D" w14:textId="77777777" w:rsidR="004603D8" w:rsidRPr="007243B0" w:rsidRDefault="004603D8" w:rsidP="004603D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Change of Sides</w:t>
      </w:r>
    </w:p>
    <w:p w14:paraId="6D1116D4" w14:textId="77777777" w:rsidR="004603D8" w:rsidRPr="007243B0" w:rsidRDefault="004603D8" w:rsidP="004603D8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Sides will be allocated by the Secretary. Once assigned, no change of side is permitted.</w:t>
      </w:r>
    </w:p>
    <w:p w14:paraId="43A5AB51" w14:textId="77777777" w:rsidR="004603D8" w:rsidRPr="007243B0" w:rsidRDefault="004603D8" w:rsidP="004603D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243B0">
        <w:rPr>
          <w:rFonts w:ascii="Times New Roman" w:eastAsia="Times New Roman" w:hAnsi="Times New Roman" w:cs="Times New Roman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78DEF312" wp14:editId="1C1FF613">
                <wp:extent cx="5943600" cy="1270"/>
                <wp:effectExtent l="0" t="31750" r="0" b="36830"/>
                <wp:docPr id="1495907365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51CB2401" id="Rectangle 8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</w:p>
    <w:p w14:paraId="45AA1645" w14:textId="77777777" w:rsidR="004603D8" w:rsidRPr="007243B0" w:rsidRDefault="004603D8" w:rsidP="004603D8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color w:val="000000" w:themeColor="text1"/>
          <w:kern w:val="0"/>
          <w:sz w:val="40"/>
          <w:szCs w:val="40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40"/>
          <w:szCs w:val="40"/>
          <w14:ligatures w14:val="none"/>
        </w:rPr>
        <w:t>Section 3 – Professional Conduct and Standards</w:t>
      </w:r>
    </w:p>
    <w:p w14:paraId="292538B9" w14:textId="77777777" w:rsidR="004603D8" w:rsidRPr="007243B0" w:rsidRDefault="004603D8" w:rsidP="004603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Decorum</w:t>
      </w:r>
    </w:p>
    <w:p w14:paraId="13FDDB04" w14:textId="77777777" w:rsidR="004603D8" w:rsidRPr="007243B0" w:rsidRDefault="004603D8" w:rsidP="004603D8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Competitors must display the highest standards of respect, courtesy and professionalism. Online participants must appear on camera, use neutral backgrounds and dress in professional attire.</w:t>
      </w:r>
    </w:p>
    <w:p w14:paraId="0CC7D8B6" w14:textId="77777777" w:rsidR="004603D8" w:rsidRPr="007243B0" w:rsidRDefault="004603D8" w:rsidP="004603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Punctuality</w:t>
      </w:r>
    </w:p>
    <w:p w14:paraId="56106D3D" w14:textId="4F3B9666" w:rsidR="009664BE" w:rsidRPr="007243B0" w:rsidRDefault="004603D8" w:rsidP="009664BE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lastRenderedPageBreak/>
        <w:t>Competitors are required to join the Teams meeting at least five minutes before their allotted time.</w:t>
      </w:r>
      <w:r w:rsidR="00C101CA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Competitors are required to </w:t>
      </w:r>
      <w:r w:rsidR="005878B3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be on time for in</w:t>
      </w:r>
      <w:r w:rsidR="005E5B2A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-</w:t>
      </w:r>
      <w:r w:rsidR="005878B3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person mooting competition</w:t>
      </w:r>
      <w:r w:rsidR="005E5B2A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s.</w:t>
      </w:r>
    </w:p>
    <w:p w14:paraId="22DD2772" w14:textId="77777777" w:rsidR="004603D8" w:rsidRPr="007243B0" w:rsidRDefault="004603D8" w:rsidP="004603D8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Unexplained lateness will be treated as unacceptable conduct and may endanger Law Society membership.</w:t>
      </w:r>
    </w:p>
    <w:p w14:paraId="193EFE88" w14:textId="3329C690" w:rsidR="004603D8" w:rsidRPr="007243B0" w:rsidRDefault="004603D8" w:rsidP="004603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 xml:space="preserve">Language and </w:t>
      </w:r>
      <w:r w:rsidR="006C453D"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Behaviour</w:t>
      </w:r>
    </w:p>
    <w:p w14:paraId="20B77123" w14:textId="77777777" w:rsidR="004603D8" w:rsidRPr="007243B0" w:rsidRDefault="004603D8" w:rsidP="004603D8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Formal language should be used throughout. Sarcasm, aggression or dismissive gestures are inappropriate.</w:t>
      </w:r>
    </w:p>
    <w:p w14:paraId="387C1B5D" w14:textId="77777777" w:rsidR="004603D8" w:rsidRPr="007243B0" w:rsidRDefault="004603D8" w:rsidP="004603D8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Address judges as “Your Honour” or “My Lord/My Lady” according to preference indicated.</w:t>
      </w:r>
    </w:p>
    <w:p w14:paraId="0C329BD9" w14:textId="77777777" w:rsidR="004603D8" w:rsidRPr="007243B0" w:rsidRDefault="004603D8" w:rsidP="004603D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Confidentiality and Recording</w:t>
      </w:r>
    </w:p>
    <w:p w14:paraId="0C919E3D" w14:textId="77777777" w:rsidR="004603D8" w:rsidRPr="007243B0" w:rsidRDefault="004603D8" w:rsidP="004603D8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Recording or screen-capturing any moot session is prohibited without written consent from organisers and all participants.</w:t>
      </w:r>
    </w:p>
    <w:p w14:paraId="49704BCC" w14:textId="77777777" w:rsidR="004603D8" w:rsidRPr="007243B0" w:rsidRDefault="004603D8" w:rsidP="004603D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243B0">
        <w:rPr>
          <w:rFonts w:ascii="Times New Roman" w:eastAsia="Times New Roman" w:hAnsi="Times New Roman" w:cs="Times New Roman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112FE609" wp14:editId="7598A468">
                <wp:extent cx="5943600" cy="1270"/>
                <wp:effectExtent l="0" t="31750" r="0" b="36830"/>
                <wp:docPr id="1738440370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2B5B281" id="Rectangle 7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</w:p>
    <w:p w14:paraId="7418AF71" w14:textId="77777777" w:rsidR="004603D8" w:rsidRPr="007243B0" w:rsidRDefault="004603D8" w:rsidP="004603D8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color w:val="000000" w:themeColor="text1"/>
          <w:kern w:val="0"/>
          <w:sz w:val="40"/>
          <w:szCs w:val="40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40"/>
          <w:szCs w:val="40"/>
          <w14:ligatures w14:val="none"/>
        </w:rPr>
        <w:t>Section 4 – Use of Materials and Sources</w:t>
      </w:r>
    </w:p>
    <w:p w14:paraId="720F7630" w14:textId="77777777" w:rsidR="004603D8" w:rsidRPr="007243B0" w:rsidRDefault="004603D8" w:rsidP="004603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Competitors may rely on primary legislation, reported case law and reputable secondary sources (textbooks, academic journals).</w:t>
      </w:r>
    </w:p>
    <w:p w14:paraId="5635FE1B" w14:textId="77777777" w:rsidR="004603D8" w:rsidRPr="007243B0" w:rsidRDefault="004603D8" w:rsidP="004603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All authorities must be cited using OSCOLA format.</w:t>
      </w:r>
    </w:p>
    <w:p w14:paraId="70623696" w14:textId="77777777" w:rsidR="004603D8" w:rsidRPr="007243B0" w:rsidRDefault="004603D8" w:rsidP="004603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Personal notes and annotated cases may be used.</w:t>
      </w:r>
    </w:p>
    <w:p w14:paraId="02D4FE19" w14:textId="77777777" w:rsidR="004603D8" w:rsidRPr="007243B0" w:rsidRDefault="004603D8" w:rsidP="004603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Electronic devices may be used for notes only and must not display distracting notifications.</w:t>
      </w:r>
    </w:p>
    <w:p w14:paraId="4024C43F" w14:textId="77777777" w:rsidR="004603D8" w:rsidRPr="007243B0" w:rsidRDefault="004603D8" w:rsidP="004603D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Moot Bundle Deadlines</w:t>
      </w: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: Submission dates will be announced by the Secretary for each competition; there is no fixed universal deadline.</w:t>
      </w:r>
    </w:p>
    <w:p w14:paraId="5D898372" w14:textId="77777777" w:rsidR="004603D8" w:rsidRPr="007243B0" w:rsidRDefault="004603D8" w:rsidP="004603D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243B0">
        <w:rPr>
          <w:rFonts w:ascii="Times New Roman" w:eastAsia="Times New Roman" w:hAnsi="Times New Roman" w:cs="Times New Roman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7BE8325F" wp14:editId="15E16BD0">
                <wp:extent cx="5943600" cy="1270"/>
                <wp:effectExtent l="0" t="31750" r="0" b="36830"/>
                <wp:docPr id="2016640437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75E4DCBC" id="Rectangle 6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</w:p>
    <w:p w14:paraId="7F84A618" w14:textId="77777777" w:rsidR="004603D8" w:rsidRPr="007243B0" w:rsidRDefault="004603D8" w:rsidP="004603D8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color w:val="000000" w:themeColor="text1"/>
          <w:kern w:val="0"/>
          <w:sz w:val="40"/>
          <w:szCs w:val="40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40"/>
          <w:szCs w:val="40"/>
          <w14:ligatures w14:val="none"/>
        </w:rPr>
        <w:t>Section 5 – Use of Artificial Intelligence</w:t>
      </w:r>
    </w:p>
    <w:p w14:paraId="1EE4E653" w14:textId="77777777" w:rsidR="004603D8" w:rsidRPr="007243B0" w:rsidRDefault="004603D8" w:rsidP="004603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Permitted Use</w:t>
      </w:r>
    </w:p>
    <w:p w14:paraId="4E64BE84" w14:textId="77777777" w:rsidR="004603D8" w:rsidRPr="007243B0" w:rsidRDefault="004603D8" w:rsidP="004603D8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AI tools may be used for:</w:t>
      </w:r>
    </w:p>
    <w:p w14:paraId="09EDA8EB" w14:textId="77777777" w:rsidR="004603D8" w:rsidRPr="007243B0" w:rsidRDefault="004603D8" w:rsidP="004603D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lastRenderedPageBreak/>
        <w:t>Idea generation or brainstorming;</w:t>
      </w:r>
    </w:p>
    <w:p w14:paraId="7D76067A" w14:textId="77777777" w:rsidR="004603D8" w:rsidRPr="007243B0" w:rsidRDefault="004603D8" w:rsidP="004603D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Language refinement and proofreading;</w:t>
      </w:r>
    </w:p>
    <w:p w14:paraId="35F1D44D" w14:textId="103AF306" w:rsidR="007243B0" w:rsidRPr="006E5FA5" w:rsidRDefault="004603D8" w:rsidP="006E5FA5">
      <w:pPr>
        <w:numPr>
          <w:ilvl w:val="1"/>
          <w:numId w:val="6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Formatting or citation checking.</w:t>
      </w:r>
    </w:p>
    <w:p w14:paraId="34B1CD9C" w14:textId="77777777" w:rsidR="004603D8" w:rsidRPr="007243B0" w:rsidRDefault="004603D8" w:rsidP="004603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Prohibited Use</w:t>
      </w:r>
    </w:p>
    <w:p w14:paraId="242996F7" w14:textId="77777777" w:rsidR="004603D8" w:rsidRPr="007243B0" w:rsidRDefault="004603D8" w:rsidP="004603D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Submitting skeleton arguments or oral scripts written entirely by AI;</w:t>
      </w:r>
    </w:p>
    <w:p w14:paraId="6A914B88" w14:textId="77777777" w:rsidR="004603D8" w:rsidRPr="007243B0" w:rsidRDefault="004603D8" w:rsidP="004603D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Presenting material without personal understanding;</w:t>
      </w:r>
    </w:p>
    <w:p w14:paraId="5736CEC8" w14:textId="4B7241F6" w:rsidR="00152832" w:rsidRPr="007334FF" w:rsidRDefault="004603D8" w:rsidP="007334F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Using AI during live submissions or whil</w:t>
      </w:r>
      <w:r w:rsid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st</w:t>
      </w: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answering questions.</w:t>
      </w:r>
    </w:p>
    <w:p w14:paraId="4FA1B7E7" w14:textId="77777777" w:rsidR="004603D8" w:rsidRPr="007243B0" w:rsidRDefault="004603D8" w:rsidP="004603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Responsibility and Verification</w:t>
      </w:r>
    </w:p>
    <w:p w14:paraId="0A190A10" w14:textId="77777777" w:rsidR="004603D8" w:rsidRPr="007243B0" w:rsidRDefault="004603D8" w:rsidP="004603D8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Competitors must be able to explain the reasoning behind any AI-assisted content.</w:t>
      </w:r>
    </w:p>
    <w:p w14:paraId="0F3C2F5A" w14:textId="542DDC83" w:rsidR="005A0F7C" w:rsidRPr="007243B0" w:rsidRDefault="004603D8" w:rsidP="00152832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Judges may ask for clarification; inability to demonstrate comprehension will result in a deduction of marks or disqualification.</w:t>
      </w:r>
    </w:p>
    <w:p w14:paraId="0EED0532" w14:textId="77777777" w:rsidR="004603D8" w:rsidRPr="007243B0" w:rsidRDefault="004603D8" w:rsidP="004603D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Consequences of Misuse</w:t>
      </w:r>
    </w:p>
    <w:p w14:paraId="35ECF873" w14:textId="77777777" w:rsidR="004603D8" w:rsidRPr="007243B0" w:rsidRDefault="004603D8" w:rsidP="004603D8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Serious or deliberate misuse of AI will be treated as academic dishonesty and referred to the President and Secretary for disciplinary review.</w:t>
      </w:r>
    </w:p>
    <w:p w14:paraId="5F0430D6" w14:textId="77777777" w:rsidR="004603D8" w:rsidRPr="007243B0" w:rsidRDefault="004603D8" w:rsidP="004603D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243B0">
        <w:rPr>
          <w:rFonts w:ascii="Times New Roman" w:eastAsia="Times New Roman" w:hAnsi="Times New Roman" w:cs="Times New Roman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03F1C370" wp14:editId="6CE34DFE">
                <wp:extent cx="5943600" cy="1270"/>
                <wp:effectExtent l="0" t="31750" r="0" b="36830"/>
                <wp:docPr id="177687207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EEF4D01" id="Rectangle 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</w:p>
    <w:p w14:paraId="2A7FCD3B" w14:textId="12F14B44" w:rsidR="004603D8" w:rsidRPr="007243B0" w:rsidRDefault="004603D8" w:rsidP="005A0F7C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color w:val="000000" w:themeColor="text1"/>
          <w:kern w:val="0"/>
          <w:sz w:val="40"/>
          <w:szCs w:val="40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40"/>
          <w:szCs w:val="40"/>
          <w14:ligatures w14:val="none"/>
        </w:rPr>
        <w:t>Section 6 – Scoring and Evaluation</w:t>
      </w:r>
    </w:p>
    <w:p w14:paraId="03F10869" w14:textId="5F77C81B" w:rsidR="004603D8" w:rsidRDefault="004603D8" w:rsidP="004603D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Each competitor will be marked out of </w:t>
      </w:r>
      <w:r w:rsidR="00703902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100 </w:t>
      </w:r>
      <w:r w:rsidRPr="007243B0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>points</w:t>
      </w: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, divided into the following categories:</w:t>
      </w:r>
    </w:p>
    <w:p w14:paraId="12FA8EF2" w14:textId="77777777" w:rsidR="00636D08" w:rsidRPr="007243B0" w:rsidRDefault="00636D08" w:rsidP="004603D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tbl>
      <w:tblPr>
        <w:tblStyle w:val="TableGrid"/>
        <w:tblW w:w="5807" w:type="dxa"/>
        <w:jc w:val="center"/>
        <w:tblLook w:val="04A0" w:firstRow="1" w:lastRow="0" w:firstColumn="1" w:lastColumn="0" w:noHBand="0" w:noVBand="1"/>
      </w:tblPr>
      <w:tblGrid>
        <w:gridCol w:w="4368"/>
        <w:gridCol w:w="1439"/>
      </w:tblGrid>
      <w:tr w:rsidR="00703902" w:rsidRPr="00F72BF3" w14:paraId="36B06B83" w14:textId="77777777" w:rsidTr="00703902">
        <w:trPr>
          <w:jc w:val="center"/>
        </w:trPr>
        <w:tc>
          <w:tcPr>
            <w:tcW w:w="4368" w:type="dxa"/>
            <w:shd w:val="clear" w:color="auto" w:fill="D9D9D9" w:themeFill="background1" w:themeFillShade="D9"/>
          </w:tcPr>
          <w:p w14:paraId="7B6AABF8" w14:textId="77777777" w:rsidR="00703902" w:rsidRPr="00F72BF3" w:rsidRDefault="00703902" w:rsidP="00B7073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Criteria </w:t>
            </w:r>
          </w:p>
        </w:tc>
        <w:tc>
          <w:tcPr>
            <w:tcW w:w="1439" w:type="dxa"/>
            <w:shd w:val="clear" w:color="auto" w:fill="D9D9D9" w:themeFill="background1" w:themeFillShade="D9"/>
          </w:tcPr>
          <w:p w14:paraId="46544D58" w14:textId="77777777" w:rsidR="00703902" w:rsidRPr="00F72BF3" w:rsidRDefault="00703902" w:rsidP="00B707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MAX PT</w:t>
            </w:r>
          </w:p>
        </w:tc>
      </w:tr>
      <w:tr w:rsidR="00703902" w:rsidRPr="00F72BF3" w14:paraId="68DEBBEA" w14:textId="77777777" w:rsidTr="00703902">
        <w:trPr>
          <w:jc w:val="center"/>
        </w:trPr>
        <w:tc>
          <w:tcPr>
            <w:tcW w:w="4368" w:type="dxa"/>
          </w:tcPr>
          <w:p w14:paraId="29195EED" w14:textId="77777777" w:rsidR="00703902" w:rsidRPr="00F72BF3" w:rsidRDefault="00703902" w:rsidP="0070390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INTRO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DUCTION</w:t>
            </w:r>
          </w:p>
        </w:tc>
        <w:tc>
          <w:tcPr>
            <w:tcW w:w="1439" w:type="dxa"/>
          </w:tcPr>
          <w:p w14:paraId="4D5B77DF" w14:textId="77777777" w:rsidR="00703902" w:rsidRPr="00F72BF3" w:rsidRDefault="00703902" w:rsidP="00B707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</w:tr>
      <w:tr w:rsidR="00703902" w:rsidRPr="00F72BF3" w14:paraId="789911D0" w14:textId="77777777" w:rsidTr="00703902">
        <w:trPr>
          <w:jc w:val="center"/>
        </w:trPr>
        <w:tc>
          <w:tcPr>
            <w:tcW w:w="4368" w:type="dxa"/>
          </w:tcPr>
          <w:p w14:paraId="43DBDEA4" w14:textId="77777777" w:rsidR="00703902" w:rsidRPr="00F72BF3" w:rsidRDefault="00703902" w:rsidP="0070390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CONTENT</w:t>
            </w:r>
          </w:p>
        </w:tc>
        <w:tc>
          <w:tcPr>
            <w:tcW w:w="1439" w:type="dxa"/>
          </w:tcPr>
          <w:p w14:paraId="64F9233A" w14:textId="77777777" w:rsidR="00703902" w:rsidRPr="00F72BF3" w:rsidRDefault="00703902" w:rsidP="00B707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</w:t>
            </w:r>
          </w:p>
        </w:tc>
      </w:tr>
      <w:tr w:rsidR="00703902" w:rsidRPr="00F72BF3" w14:paraId="22E4A82E" w14:textId="77777777" w:rsidTr="00703902">
        <w:trPr>
          <w:jc w:val="center"/>
        </w:trPr>
        <w:tc>
          <w:tcPr>
            <w:tcW w:w="4368" w:type="dxa"/>
          </w:tcPr>
          <w:p w14:paraId="234D4F7A" w14:textId="77777777" w:rsidR="00703902" w:rsidRPr="00F72BF3" w:rsidRDefault="00703902" w:rsidP="0070390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CONCLUSIO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1439" w:type="dxa"/>
          </w:tcPr>
          <w:p w14:paraId="67EEB8FC" w14:textId="77777777" w:rsidR="00703902" w:rsidRPr="00F72BF3" w:rsidRDefault="00703902" w:rsidP="00B707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</w:tr>
      <w:tr w:rsidR="00703902" w:rsidRPr="00F72BF3" w14:paraId="0329EF2D" w14:textId="77777777" w:rsidTr="00703902">
        <w:trPr>
          <w:jc w:val="center"/>
        </w:trPr>
        <w:tc>
          <w:tcPr>
            <w:tcW w:w="4368" w:type="dxa"/>
          </w:tcPr>
          <w:p w14:paraId="3914A129" w14:textId="77777777" w:rsidR="00703902" w:rsidRPr="00F72BF3" w:rsidRDefault="00703902" w:rsidP="0070390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DELIVERY</w:t>
            </w:r>
          </w:p>
        </w:tc>
        <w:tc>
          <w:tcPr>
            <w:tcW w:w="1439" w:type="dxa"/>
          </w:tcPr>
          <w:p w14:paraId="6777816D" w14:textId="77777777" w:rsidR="00703902" w:rsidRPr="00F72BF3" w:rsidRDefault="00703902" w:rsidP="00B707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</w:p>
        </w:tc>
      </w:tr>
      <w:tr w:rsidR="00703902" w:rsidRPr="00F72BF3" w14:paraId="049D91B8" w14:textId="77777777" w:rsidTr="00703902">
        <w:trPr>
          <w:jc w:val="center"/>
        </w:trPr>
        <w:tc>
          <w:tcPr>
            <w:tcW w:w="4368" w:type="dxa"/>
          </w:tcPr>
          <w:p w14:paraId="7AC955C1" w14:textId="77777777" w:rsidR="00703902" w:rsidRPr="00F72BF3" w:rsidRDefault="00703902" w:rsidP="00703902">
            <w:pPr>
              <w:pStyle w:val="ListParagraph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MOOTING BUNDLE</w:t>
            </w:r>
          </w:p>
        </w:tc>
        <w:tc>
          <w:tcPr>
            <w:tcW w:w="1439" w:type="dxa"/>
          </w:tcPr>
          <w:p w14:paraId="18EBC71A" w14:textId="77777777" w:rsidR="00703902" w:rsidRPr="00F72BF3" w:rsidRDefault="00703902" w:rsidP="00B707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</w:tr>
      <w:tr w:rsidR="00703902" w:rsidRPr="00F72BF3" w14:paraId="1C0F1786" w14:textId="77777777" w:rsidTr="00703902">
        <w:trPr>
          <w:jc w:val="center"/>
        </w:trPr>
        <w:tc>
          <w:tcPr>
            <w:tcW w:w="4368" w:type="dxa"/>
          </w:tcPr>
          <w:p w14:paraId="2BEBEBAE" w14:textId="77777777" w:rsidR="00703902" w:rsidRPr="00F72BF3" w:rsidRDefault="00703902" w:rsidP="00B707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72B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FINAL TOTAL</w:t>
            </w:r>
          </w:p>
        </w:tc>
        <w:tc>
          <w:tcPr>
            <w:tcW w:w="1439" w:type="dxa"/>
          </w:tcPr>
          <w:p w14:paraId="14BD2FA8" w14:textId="77777777" w:rsidR="00703902" w:rsidRPr="00F72BF3" w:rsidRDefault="00703902" w:rsidP="00B7073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100</w:t>
            </w:r>
          </w:p>
        </w:tc>
      </w:tr>
    </w:tbl>
    <w:p w14:paraId="05A1364C" w14:textId="77777777" w:rsidR="006E5FA5" w:rsidRDefault="006E5FA5" w:rsidP="00703902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14:ligatures w14:val="none"/>
        </w:rPr>
      </w:pPr>
    </w:p>
    <w:p w14:paraId="189B993B" w14:textId="70083334" w:rsidR="00703902" w:rsidRPr="00703902" w:rsidRDefault="00703902" w:rsidP="00703902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14:ligatures w14:val="none"/>
        </w:rPr>
      </w:pPr>
      <w:r>
        <w:rPr>
          <w:rFonts w:ascii="Times New Roman" w:hAnsi="Times New Roman" w:cs="Times New Roman"/>
          <w:color w:val="000000" w:themeColor="text1"/>
          <w:kern w:val="0"/>
          <w14:ligatures w14:val="none"/>
        </w:rPr>
        <w:t xml:space="preserve">Please see the ‘Law Society Mooting Marksheet 2026/27’ </w:t>
      </w:r>
      <w:hyperlink r:id="rId7" w:history="1">
        <w:r w:rsidRPr="00703902">
          <w:rPr>
            <w:rStyle w:val="Hyperlink"/>
            <w:rFonts w:ascii="Times New Roman" w:hAnsi="Times New Roman" w:cs="Times New Roman"/>
            <w:kern w:val="0"/>
            <w14:ligatures w14:val="none"/>
          </w:rPr>
          <w:t>Document</w:t>
        </w:r>
      </w:hyperlink>
      <w:r>
        <w:rPr>
          <w:rFonts w:ascii="Times New Roman" w:hAnsi="Times New Roman" w:cs="Times New Roman"/>
          <w:color w:val="000000" w:themeColor="text1"/>
          <w:kern w:val="0"/>
          <w14:ligatures w14:val="none"/>
        </w:rPr>
        <w:t xml:space="preserve"> for additional information.</w:t>
      </w:r>
    </w:p>
    <w:p w14:paraId="6A16EDE7" w14:textId="2F8190C5" w:rsidR="004603D8" w:rsidRPr="007243B0" w:rsidRDefault="004603D8" w:rsidP="00172D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lastRenderedPageBreak/>
        <w:t>Example of Strong Advocacy Content</w:t>
      </w:r>
    </w:p>
    <w:p w14:paraId="176681F9" w14:textId="46E45B45" w:rsidR="004603D8" w:rsidRPr="00152832" w:rsidRDefault="004603D8" w:rsidP="0015283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“Your Honour, the Appellant respectfully submits that the assurance, when viewed in the context of continuous conduct, satisfies the clarity requirement identified by Lord Walker in Thorner v Major. The Respondent’s argument ignores the cumulative effect of reliance.”</w:t>
      </w:r>
    </w:p>
    <w:p w14:paraId="364C2E10" w14:textId="0A4F66BB" w:rsidR="004603D8" w:rsidRPr="007243B0" w:rsidRDefault="004603D8" w:rsidP="00172D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Example of Weak Advocacy Content</w:t>
      </w:r>
    </w:p>
    <w:p w14:paraId="64E6D84E" w14:textId="418E34F7" w:rsidR="004603D8" w:rsidRPr="00152832" w:rsidRDefault="004603D8" w:rsidP="0015283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“I think the case probably helps my client because it sort of says promises can count if they’re clear. So basically, she should win.”</w:t>
      </w:r>
    </w:p>
    <w:p w14:paraId="07050720" w14:textId="77777777" w:rsidR="004603D8" w:rsidRPr="007243B0" w:rsidRDefault="004603D8" w:rsidP="004603D8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Judges will consider structure, legal accuracy, clarity, tone, and the ability to handle questions under pressure.</w:t>
      </w:r>
    </w:p>
    <w:p w14:paraId="66EF017B" w14:textId="77777777" w:rsidR="004603D8" w:rsidRPr="007243B0" w:rsidRDefault="004603D8" w:rsidP="004603D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243B0">
        <w:rPr>
          <w:rFonts w:ascii="Times New Roman" w:eastAsia="Times New Roman" w:hAnsi="Times New Roman" w:cs="Times New Roman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6733ECDA" wp14:editId="4E125078">
                <wp:extent cx="5943600" cy="1270"/>
                <wp:effectExtent l="0" t="31750" r="0" b="36830"/>
                <wp:docPr id="1343108696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7C8A6A01" id="Rectangle 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</w:p>
    <w:p w14:paraId="7A18C7FD" w14:textId="77777777" w:rsidR="004603D8" w:rsidRPr="007243B0" w:rsidRDefault="004603D8" w:rsidP="004603D8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color w:val="000000" w:themeColor="text1"/>
          <w:kern w:val="0"/>
          <w:sz w:val="40"/>
          <w:szCs w:val="40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40"/>
          <w:szCs w:val="40"/>
          <w14:ligatures w14:val="none"/>
        </w:rPr>
        <w:t>Section 7 – Administrative Rules and Deadlines</w:t>
      </w:r>
    </w:p>
    <w:p w14:paraId="23BD1BDD" w14:textId="77777777" w:rsidR="004603D8" w:rsidRPr="007243B0" w:rsidRDefault="004603D8" w:rsidP="004603D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Applications and Withdrawals</w:t>
      </w:r>
    </w:p>
    <w:p w14:paraId="28E2B6CB" w14:textId="77777777" w:rsidR="004603D8" w:rsidRPr="007243B0" w:rsidRDefault="004603D8" w:rsidP="004603D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Entry to moots will open by announcement from the Secretary.</w:t>
      </w:r>
    </w:p>
    <w:p w14:paraId="1C8B447E" w14:textId="77777777" w:rsidR="004603D8" w:rsidRPr="007243B0" w:rsidRDefault="004603D8" w:rsidP="004603D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Withdrawal after allocation must be justified and communicated promptly.</w:t>
      </w:r>
    </w:p>
    <w:p w14:paraId="25CF58D6" w14:textId="77777777" w:rsidR="004603D8" w:rsidRPr="007243B0" w:rsidRDefault="004603D8" w:rsidP="004603D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Rescheduling and Emergencies</w:t>
      </w:r>
    </w:p>
    <w:p w14:paraId="1E8FD306" w14:textId="77777777" w:rsidR="004603D8" w:rsidRPr="007243B0" w:rsidRDefault="004603D8" w:rsidP="004603D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Requests for new dates will be considered only in exceptional circumstances and at the discretion of the President and Secretary.</w:t>
      </w:r>
    </w:p>
    <w:p w14:paraId="0E9F5963" w14:textId="77777777" w:rsidR="004603D8" w:rsidRPr="007243B0" w:rsidRDefault="004603D8" w:rsidP="004603D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Participants experiencing illness or family emergencies must provide notice and, where appropriate, supporting evidence.</w:t>
      </w:r>
    </w:p>
    <w:p w14:paraId="7AC2B43F" w14:textId="77777777" w:rsidR="008804DC" w:rsidRPr="007243B0" w:rsidRDefault="004603D8" w:rsidP="008804D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Technical Failures</w:t>
      </w:r>
    </w:p>
    <w:p w14:paraId="0FB6D8B4" w14:textId="4BF03DCD" w:rsidR="004603D8" w:rsidRPr="007243B0" w:rsidRDefault="004603D8" w:rsidP="008804DC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In online moots, if connection is lost, competitors should re-join immediately and inform the host. The Judges may allow a brief extension or reschedule if deemed necessary.</w:t>
      </w:r>
    </w:p>
    <w:p w14:paraId="74A421CB" w14:textId="77777777" w:rsidR="004603D8" w:rsidRPr="007243B0" w:rsidRDefault="004603D8" w:rsidP="004603D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243B0">
        <w:rPr>
          <w:rFonts w:ascii="Times New Roman" w:eastAsia="Times New Roman" w:hAnsi="Times New Roman" w:cs="Times New Roman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2FA5ED4D" wp14:editId="0B8D776C">
                <wp:extent cx="5943600" cy="1270"/>
                <wp:effectExtent l="0" t="31750" r="0" b="36830"/>
                <wp:docPr id="1199951710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18057B4B" id="Rectangle 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</w:p>
    <w:p w14:paraId="57B14F9F" w14:textId="77777777" w:rsidR="004603D8" w:rsidRPr="007243B0" w:rsidRDefault="004603D8" w:rsidP="004603D8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color w:val="000000" w:themeColor="text1"/>
          <w:kern w:val="0"/>
          <w:sz w:val="40"/>
          <w:szCs w:val="40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40"/>
          <w:szCs w:val="40"/>
          <w14:ligatures w14:val="none"/>
        </w:rPr>
        <w:t>Section 8 – Disciplinary Procedures</w:t>
      </w:r>
    </w:p>
    <w:p w14:paraId="48486FBC" w14:textId="77777777" w:rsidR="004603D8" w:rsidRPr="007243B0" w:rsidRDefault="004603D8" w:rsidP="004603D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Grounds for Disciplinary Action</w:t>
      </w:r>
    </w:p>
    <w:p w14:paraId="1DF36B7F" w14:textId="77777777" w:rsidR="004603D8" w:rsidRPr="007243B0" w:rsidRDefault="004603D8" w:rsidP="004603D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Persistent lateness or non-attendance;</w:t>
      </w:r>
    </w:p>
    <w:p w14:paraId="1E6FA5B4" w14:textId="77777777" w:rsidR="004603D8" w:rsidRPr="007243B0" w:rsidRDefault="004603D8" w:rsidP="004603D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Breach of AI or originality rules;</w:t>
      </w:r>
    </w:p>
    <w:p w14:paraId="3C34B791" w14:textId="77777777" w:rsidR="004603D8" w:rsidRPr="007243B0" w:rsidRDefault="004603D8" w:rsidP="004603D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lastRenderedPageBreak/>
        <w:t>Disrespectful behaviour towards judges or organisers;</w:t>
      </w:r>
    </w:p>
    <w:p w14:paraId="4D7312F6" w14:textId="77777777" w:rsidR="004603D8" w:rsidRPr="007243B0" w:rsidRDefault="004603D8" w:rsidP="004603D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Plagiarism or misrepresentation of work.</w:t>
      </w:r>
    </w:p>
    <w:p w14:paraId="52AB46AD" w14:textId="77777777" w:rsidR="004603D8" w:rsidRPr="007243B0" w:rsidRDefault="004603D8" w:rsidP="004603D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Sanctions</w:t>
      </w:r>
    </w:p>
    <w:p w14:paraId="0FC3367D" w14:textId="77777777" w:rsidR="004603D8" w:rsidRPr="007243B0" w:rsidRDefault="004603D8" w:rsidP="004603D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Deduction of points;</w:t>
      </w:r>
    </w:p>
    <w:p w14:paraId="4F0E1281" w14:textId="77777777" w:rsidR="004603D8" w:rsidRPr="007243B0" w:rsidRDefault="004603D8" w:rsidP="004603D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Disqualification from the competition;</w:t>
      </w:r>
    </w:p>
    <w:p w14:paraId="69E8C86F" w14:textId="77777777" w:rsidR="004603D8" w:rsidRPr="007243B0" w:rsidRDefault="004603D8" w:rsidP="004603D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Suspension from future Law Society events.</w:t>
      </w:r>
    </w:p>
    <w:p w14:paraId="225E47E8" w14:textId="77777777" w:rsidR="004603D8" w:rsidRPr="007243B0" w:rsidRDefault="004603D8" w:rsidP="004603D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Appeals</w:t>
      </w:r>
    </w:p>
    <w:p w14:paraId="15F9533E" w14:textId="77777777" w:rsidR="004603D8" w:rsidRPr="007243B0" w:rsidRDefault="004603D8" w:rsidP="004603D8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Competitors may submit a written appeal to the President and Secretary within seven days of notification. Their decision is final.</w:t>
      </w:r>
    </w:p>
    <w:p w14:paraId="20072DCF" w14:textId="77777777" w:rsidR="00C40EA1" w:rsidRPr="007243B0" w:rsidRDefault="00C40EA1" w:rsidP="00C40EA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243B0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23ADB63F" wp14:editId="5A35437C">
                <wp:extent cx="5943600" cy="1270"/>
                <wp:effectExtent l="0" t="31750" r="0" b="36830"/>
                <wp:docPr id="681741045" name="Rectangl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3413DA32" id="Rectangle 1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</w:p>
    <w:p w14:paraId="21D1D624" w14:textId="77777777" w:rsidR="001A53C6" w:rsidRPr="007243B0" w:rsidRDefault="001A53C6" w:rsidP="00C40E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4462877B" w14:textId="77777777" w:rsidR="001A53C6" w:rsidRPr="007243B0" w:rsidRDefault="001A53C6" w:rsidP="00C40E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4188951C" w14:textId="77777777" w:rsidR="001A53C6" w:rsidRPr="007243B0" w:rsidRDefault="001A53C6" w:rsidP="00C40E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6FC2C10C" w14:textId="77777777" w:rsidR="001A53C6" w:rsidRPr="007243B0" w:rsidRDefault="001A53C6" w:rsidP="00C40E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2A0001C0" w14:textId="77777777" w:rsidR="001A53C6" w:rsidRPr="007243B0" w:rsidRDefault="001A53C6" w:rsidP="00C40E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5D5B43E7" w14:textId="77777777" w:rsidR="001A53C6" w:rsidRPr="007243B0" w:rsidRDefault="001A53C6" w:rsidP="00C40E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316197F3" w14:textId="77777777" w:rsidR="001A53C6" w:rsidRPr="007243B0" w:rsidRDefault="001A53C6" w:rsidP="00C40E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481828D6" w14:textId="77777777" w:rsidR="001A53C6" w:rsidRPr="007243B0" w:rsidRDefault="001A53C6" w:rsidP="00C40E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6E404803" w14:textId="77777777" w:rsidR="001A53C6" w:rsidRPr="007243B0" w:rsidRDefault="001A53C6" w:rsidP="00C40E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2BC17D04" w14:textId="77777777" w:rsidR="001A53C6" w:rsidRPr="007243B0" w:rsidRDefault="001A53C6" w:rsidP="00C40E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60DD0D7C" w14:textId="77777777" w:rsidR="001A53C6" w:rsidRPr="007243B0" w:rsidRDefault="001A53C6" w:rsidP="00C40EA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</w:p>
    <w:p w14:paraId="51970F31" w14:textId="0EFFF0AB" w:rsidR="00C40EA1" w:rsidRPr="007243B0" w:rsidRDefault="00C40EA1" w:rsidP="00761997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lastRenderedPageBreak/>
        <w:t>Part II – The Mooting Guide</w:t>
      </w:r>
      <w:r w:rsidRPr="007243B0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486AD984" wp14:editId="46278541">
                <wp:extent cx="5943600" cy="1270"/>
                <wp:effectExtent l="0" t="31750" r="0" b="36830"/>
                <wp:docPr id="30270336" name="Rectangl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B40ECFD" id="Rectangle 1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  <w:r w:rsidRPr="007243B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1 – What is a Moot and Why It Matters</w:t>
      </w:r>
    </w:p>
    <w:p w14:paraId="366F24C3" w14:textId="2066FB4F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Mooting is a simulated appeal hearing where students argue points of law before a panel of judges. It is not about memorising facts or debating opinions</w:t>
      </w:r>
      <w:r w:rsidR="0015587E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, but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about applying legal principles to a given set of facts, using structured reasoning and authoritative sources.</w:t>
      </w:r>
    </w:p>
    <w:p w14:paraId="60E2155E" w14:textId="77777777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The purpose of mooting is to:</w:t>
      </w:r>
    </w:p>
    <w:p w14:paraId="5C5AB0C1" w14:textId="77777777" w:rsidR="00C40EA1" w:rsidRPr="007243B0" w:rsidRDefault="00C40EA1" w:rsidP="00C40E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Strengthen research, reasoning, and advocacy skills.</w:t>
      </w:r>
    </w:p>
    <w:p w14:paraId="1E3BD4C0" w14:textId="77777777" w:rsidR="00C40EA1" w:rsidRPr="007243B0" w:rsidRDefault="00C40EA1" w:rsidP="00C40E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Build confidence in public speaking under pressure.</w:t>
      </w:r>
    </w:p>
    <w:p w14:paraId="785D8E28" w14:textId="77777777" w:rsidR="00C40EA1" w:rsidRPr="007243B0" w:rsidRDefault="00C40EA1" w:rsidP="00C40E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Develop a professional understanding of courtroom decorum.</w:t>
      </w:r>
    </w:p>
    <w:p w14:paraId="38238E84" w14:textId="77777777" w:rsidR="00C40EA1" w:rsidRPr="007243B0" w:rsidRDefault="00C40EA1" w:rsidP="00C40EA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Encourage teamwork, preparation, and intellectual rigour.</w:t>
      </w:r>
    </w:p>
    <w:p w14:paraId="471F2CB4" w14:textId="77777777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1202CB90" w14:textId="4A9887E4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 good mooter presents arguments clearly, responds calmly to questions, and supports every claim with legal authority</w:t>
      </w:r>
      <w:r w:rsidR="00EC60AB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, where possible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10480272" w14:textId="73672218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 poor mooter reads from a script, ignores judicial questions, and relies on vague generalisations rather than precise reasoning</w:t>
      </w:r>
      <w:r w:rsidR="00EC60AB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, and falls into logical fallacies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35928C8E" w14:textId="77777777" w:rsidR="00C40EA1" w:rsidRPr="007243B0" w:rsidRDefault="00C40EA1" w:rsidP="00C40EA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243B0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752FE275" wp14:editId="490F8629">
                <wp:extent cx="5943600" cy="1270"/>
                <wp:effectExtent l="0" t="31750" r="0" b="36830"/>
                <wp:docPr id="1988089737" name="Rectangl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37C8EFA" id="Rectangle 10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</w:p>
    <w:p w14:paraId="3E1701C9" w14:textId="5693E236" w:rsidR="00C40EA1" w:rsidRPr="007243B0" w:rsidRDefault="00C40EA1" w:rsidP="00EC60AB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2 – Understanding the Moot Problem</w:t>
      </w:r>
    </w:p>
    <w:p w14:paraId="55276D70" w14:textId="7A02ED98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Every moot begins with a problem question</w:t>
      </w:r>
      <w:r w:rsidR="00EC60AB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: this is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a fictional legal scenario based on real principles of law.</w:t>
      </w:r>
    </w:p>
    <w:p w14:paraId="2763E470" w14:textId="5514468D" w:rsidR="00C40EA1" w:rsidRPr="007243B0" w:rsidRDefault="00C40EA1" w:rsidP="00EC60A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Step 1 – Read the Facts Carefully</w:t>
      </w:r>
    </w:p>
    <w:p w14:paraId="3E3F6931" w14:textId="77777777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Read the scenario multiple times. Identify:</w:t>
      </w:r>
    </w:p>
    <w:p w14:paraId="21B341BD" w14:textId="77777777" w:rsidR="00C40EA1" w:rsidRPr="007243B0" w:rsidRDefault="00C40EA1" w:rsidP="00C40E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The parties (Appellant and Respondent)</w:t>
      </w:r>
    </w:p>
    <w:p w14:paraId="74EDA754" w14:textId="77777777" w:rsidR="00C40EA1" w:rsidRPr="007243B0" w:rsidRDefault="00C40EA1" w:rsidP="00C40E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The procedural stage (appeal, judicial review, etc.)</w:t>
      </w:r>
    </w:p>
    <w:p w14:paraId="5C394025" w14:textId="77777777" w:rsidR="00C40EA1" w:rsidRPr="007243B0" w:rsidRDefault="00C40EA1" w:rsidP="00C40EA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The issues of law being contested (Grounds of Appeal)</w:t>
      </w:r>
    </w:p>
    <w:p w14:paraId="6408AFEF" w14:textId="01347B01" w:rsidR="00C40EA1" w:rsidRPr="007243B0" w:rsidRDefault="00C40EA1" w:rsidP="00AB10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Step 2 – Distinguish Law from Fact</w:t>
      </w:r>
    </w:p>
    <w:p w14:paraId="66F43475" w14:textId="77777777" w:rsidR="007A4ACD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lastRenderedPageBreak/>
        <w:t>Facts are the story; law is what you must apply.</w:t>
      </w:r>
    </w:p>
    <w:p w14:paraId="3D4D6F50" w14:textId="3AFAF4BC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Never argue about what “should” have happened</w:t>
      </w:r>
      <w:r w:rsidR="003057B6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. F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ocus on what the law says about those facts</w:t>
      </w:r>
      <w:r w:rsidR="007A4ACD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, and what “can” be done now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41A12A1D" w14:textId="35BB1254" w:rsidR="00C40EA1" w:rsidRPr="007243B0" w:rsidRDefault="00C40EA1" w:rsidP="00AB100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Step 3 – Identify the Grounds of Appeal</w:t>
      </w:r>
    </w:p>
    <w:p w14:paraId="58F8E589" w14:textId="1DAAC9EC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Each ground usually corresponds to a distinct legal question. Rank them by importance</w:t>
      </w:r>
      <w:r w:rsidR="009B7302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as 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your time management </w:t>
      </w:r>
      <w:r w:rsidR="009B7302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points 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will depend on this.</w:t>
      </w:r>
      <w:r w:rsidR="00B16102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In an external moot competition, the 2 counsels of a party will generally divide grounds </w:t>
      </w:r>
      <w:r w:rsidR="003E38D5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into 2 groups.</w:t>
      </w:r>
    </w:p>
    <w:p w14:paraId="63498F48" w14:textId="3FE61F0D" w:rsidR="00C40EA1" w:rsidRPr="007243B0" w:rsidRDefault="00C40EA1" w:rsidP="003E38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14:ligatures w14:val="none"/>
        </w:rPr>
        <w:t>Example of a Good Approach</w:t>
      </w:r>
    </w:p>
    <w:p w14:paraId="6A1B9D20" w14:textId="0FC67B8D" w:rsidR="00C40EA1" w:rsidRPr="007243B0" w:rsidRDefault="00C40EA1" w:rsidP="003E38D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“Ground 1 concerns proprietary estoppel</w:t>
      </w:r>
      <w:r w:rsidR="009B7302"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. This discerns </w:t>
      </w: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whether a promise was sufficiently clear to create an equity. Ground 2 examines whether the right, if any, binds the purchaser as an overriding interest under Schedule 3, paragraph 2 of the Land Registration Act 2002.”</w:t>
      </w:r>
    </w:p>
    <w:p w14:paraId="66B0A4FA" w14:textId="41BC46FB" w:rsidR="00C40EA1" w:rsidRPr="007243B0" w:rsidRDefault="00C40EA1" w:rsidP="003E38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Example of a Weak Approach</w:t>
      </w:r>
    </w:p>
    <w:p w14:paraId="21B5E915" w14:textId="77777777" w:rsidR="00C40EA1" w:rsidRPr="007243B0" w:rsidRDefault="00C40EA1" w:rsidP="00C40EA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“The case is basically about someone being promised land and not getting it, and then the buyer didn’t </w:t>
      </w: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>check properly. So it’s unfair.”</w:t>
      </w:r>
    </w:p>
    <w:p w14:paraId="5ABB916F" w14:textId="77777777" w:rsidR="00C40EA1" w:rsidRPr="007243B0" w:rsidRDefault="00C40EA1" w:rsidP="00C40EA1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7243B0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739A9CB2" wp14:editId="0D7A55A6">
                <wp:extent cx="5943600" cy="1270"/>
                <wp:effectExtent l="0" t="31750" r="0" b="36830"/>
                <wp:docPr id="671638551" name="Rectangl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5BB38201" id="Rectangle 9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</w:p>
    <w:p w14:paraId="3F4036DD" w14:textId="4B91A4D4" w:rsidR="00C40EA1" w:rsidRPr="007243B0" w:rsidRDefault="00C40EA1" w:rsidP="002E0B5B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3 – How to Research the Law</w:t>
      </w:r>
    </w:p>
    <w:p w14:paraId="2A1C2CF1" w14:textId="2D6D37CD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Strong research is the foundation of every good moot.</w:t>
      </w:r>
    </w:p>
    <w:p w14:paraId="15F4F5DE" w14:textId="77777777" w:rsidR="00C40EA1" w:rsidRPr="007243B0" w:rsidRDefault="00C40EA1" w:rsidP="00C40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Start with Primary Sources</w:t>
      </w:r>
    </w:p>
    <w:p w14:paraId="7188F0BB" w14:textId="75DDD364" w:rsidR="00C40EA1" w:rsidRPr="007243B0" w:rsidRDefault="00C40EA1" w:rsidP="00C40E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Use Westlaw</w:t>
      </w:r>
      <w:r w:rsidR="002E0B5B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/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LexisNexis to find the </w:t>
      </w:r>
      <w:r w:rsidRPr="007243B0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full judgment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of each cited case.</w:t>
      </w:r>
    </w:p>
    <w:p w14:paraId="2D8820C8" w14:textId="2F399860" w:rsidR="00C40EA1" w:rsidRPr="007243B0" w:rsidRDefault="00C40EA1" w:rsidP="00C40E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Identify the </w:t>
      </w:r>
      <w:r w:rsidRPr="007243B0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ratio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7243B0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decidendi</w:t>
      </w:r>
      <w:r w:rsidR="00124D2D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(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the core principle</w:t>
      </w:r>
      <w:r w:rsidR="00787C48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)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on which the case was decided</w:t>
      </w:r>
      <w:r w:rsidR="00124D2D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74780283" w14:textId="1DB9A6C2" w:rsidR="00C40EA1" w:rsidRPr="007243B0" w:rsidRDefault="00C40EA1" w:rsidP="00C40EA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Check whether it has been </w:t>
      </w:r>
      <w:r w:rsidRPr="007243B0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overturned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or </w:t>
      </w:r>
      <w:r w:rsidRPr="007243B0"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distinguished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3B05587F" w14:textId="77777777" w:rsidR="00C40EA1" w:rsidRPr="007243B0" w:rsidRDefault="00C40EA1" w:rsidP="00C40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Support with Secondary Sources</w:t>
      </w:r>
    </w:p>
    <w:p w14:paraId="5720D22F" w14:textId="67033072" w:rsidR="00C40EA1" w:rsidRPr="007243B0" w:rsidRDefault="00C40EA1" w:rsidP="00C40E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243B0">
        <w:rPr>
          <w:rFonts w:ascii="Times New Roman" w:hAnsi="Times New Roman" w:cs="Times New Roman"/>
          <w:kern w:val="0"/>
          <w14:ligatures w14:val="none"/>
        </w:rPr>
        <w:t xml:space="preserve">Textbooks (e.g. </w:t>
      </w:r>
      <w:proofErr w:type="spellStart"/>
      <w:r w:rsidRPr="007243B0">
        <w:rPr>
          <w:rFonts w:ascii="Times New Roman" w:hAnsi="Times New Roman" w:cs="Times New Roman"/>
          <w:kern w:val="0"/>
          <w14:ligatures w14:val="none"/>
        </w:rPr>
        <w:t>Megarry</w:t>
      </w:r>
      <w:proofErr w:type="spellEnd"/>
      <w:r w:rsidRPr="007243B0">
        <w:rPr>
          <w:rFonts w:ascii="Times New Roman" w:hAnsi="Times New Roman" w:cs="Times New Roman"/>
          <w:kern w:val="0"/>
          <w14:ligatures w14:val="none"/>
        </w:rPr>
        <w:t xml:space="preserve"> &amp; Wade, Land Law; Elliott &amp; Quinn, Contract Law).</w:t>
      </w:r>
    </w:p>
    <w:p w14:paraId="36783F89" w14:textId="1CDAF3E4" w:rsidR="00C40EA1" w:rsidRPr="007243B0" w:rsidRDefault="00C40EA1" w:rsidP="00C40EA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243B0">
        <w:rPr>
          <w:rFonts w:ascii="Times New Roman" w:hAnsi="Times New Roman" w:cs="Times New Roman"/>
          <w:kern w:val="0"/>
          <w14:ligatures w14:val="none"/>
        </w:rPr>
        <w:t>Journal articles and case commentaries for depth and differing interpretations.</w:t>
      </w:r>
    </w:p>
    <w:p w14:paraId="74C25B6C" w14:textId="16CB2F46" w:rsidR="00C40EA1" w:rsidRPr="007243B0" w:rsidRDefault="00C40EA1" w:rsidP="00102E6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Stay Current</w:t>
      </w:r>
    </w:p>
    <w:p w14:paraId="55976198" w14:textId="2E4DC26D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lastRenderedPageBreak/>
        <w:t>Always check the latest judicial interpretations or statutory amendments before relying on a principle.</w:t>
      </w:r>
      <w:r w:rsidR="00102E62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601420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This is one of the easiest mistakes to make.</w:t>
      </w:r>
    </w:p>
    <w:p w14:paraId="19CB6FAE" w14:textId="78288A30" w:rsidR="00C40EA1" w:rsidRPr="007243B0" w:rsidRDefault="00C40EA1" w:rsidP="0060142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Use OSCOLA Citations</w:t>
      </w:r>
    </w:p>
    <w:p w14:paraId="7D98D7BC" w14:textId="12304951" w:rsidR="00C40EA1" w:rsidRPr="007243B0" w:rsidRDefault="005811BF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Correct</w:t>
      </w:r>
      <w:r w:rsidR="00C40EA1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:</w:t>
      </w:r>
    </w:p>
    <w:p w14:paraId="703F435A" w14:textId="6889CFAB" w:rsidR="00C40EA1" w:rsidRPr="007243B0" w:rsidRDefault="00C40EA1" w:rsidP="005811B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Thorner v Major [2009] UKHL 18</w:t>
      </w:r>
    </w:p>
    <w:p w14:paraId="7635B0D7" w14:textId="04CE1AD3" w:rsidR="005811BF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i/>
          <w:iCs/>
          <w:color w:val="000000" w:themeColor="text1"/>
          <w:kern w:val="0"/>
          <w:sz w:val="28"/>
          <w:szCs w:val="28"/>
          <w14:ligatures w14:val="none"/>
        </w:rPr>
        <w:t>Incorrect</w:t>
      </w: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:</w:t>
      </w:r>
    </w:p>
    <w:p w14:paraId="6B0825F4" w14:textId="77777777" w:rsidR="00C40EA1" w:rsidRPr="007243B0" w:rsidRDefault="00C40EA1" w:rsidP="00C40EA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Thorner vs Major (2009)</w:t>
      </w:r>
    </w:p>
    <w:p w14:paraId="16D88E82" w14:textId="77777777" w:rsidR="005811BF" w:rsidRPr="007243B0" w:rsidRDefault="005811BF" w:rsidP="00C40EA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</w:p>
    <w:p w14:paraId="7F02E523" w14:textId="7A465D50" w:rsidR="005811BF" w:rsidRPr="007243B0" w:rsidRDefault="005811BF" w:rsidP="00C40EA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Please refer to Oxford OSCOLA Guide</w:t>
      </w:r>
      <w:r w:rsidR="00650736"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, as well as BCU’s own guidelines.</w:t>
      </w:r>
    </w:p>
    <w:p w14:paraId="32A50118" w14:textId="77777777" w:rsidR="00C40EA1" w:rsidRPr="007243B0" w:rsidRDefault="00C40EA1" w:rsidP="00C40EA1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noProof/>
          <w:color w:val="000000" w:themeColor="text1"/>
          <w:kern w:val="0"/>
          <w:sz w:val="28"/>
          <w:szCs w:val="28"/>
          <w14:ligatures w14:val="none"/>
        </w:rPr>
        <mc:AlternateContent>
          <mc:Choice Requires="wps">
            <w:drawing>
              <wp:inline distT="0" distB="0" distL="0" distR="0" wp14:anchorId="293473E2" wp14:editId="5C4E6FE1">
                <wp:extent cx="5943600" cy="1270"/>
                <wp:effectExtent l="0" t="31750" r="0" b="36830"/>
                <wp:docPr id="1867504679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C079F9F" id="Rectangle 8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</w:p>
    <w:p w14:paraId="352A346F" w14:textId="7AA24C2A" w:rsidR="00C40EA1" w:rsidRPr="007243B0" w:rsidRDefault="00C40EA1" w:rsidP="00E6611E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4 – Preparing the Moot Bundle</w:t>
      </w:r>
    </w:p>
    <w:p w14:paraId="04CC9E8F" w14:textId="006677D5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 Moot Bundle is the collection of all materials the judges and opposing counsel will need</w:t>
      </w:r>
      <w:r w:rsidR="007D4157">
        <w:rPr>
          <w:rFonts w:ascii="Times New Roman" w:hAnsi="Times New Roman" w:cs="Times New Roman"/>
          <w:kern w:val="0"/>
          <w:sz w:val="28"/>
          <w:szCs w:val="28"/>
          <w14:ligatures w14:val="none"/>
        </w:rPr>
        <w:t>,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to follow your argument. It must be neatly organised, paginated, and submitted before the competition.</w:t>
      </w:r>
    </w:p>
    <w:p w14:paraId="38EB8447" w14:textId="77777777" w:rsidR="00C40EA1" w:rsidRPr="007243B0" w:rsidRDefault="00C40EA1" w:rsidP="00C40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Contents of a Typical Bundle</w:t>
      </w:r>
    </w:p>
    <w:p w14:paraId="3E3E77B4" w14:textId="77777777" w:rsidR="00C40EA1" w:rsidRPr="007243B0" w:rsidRDefault="00C40EA1" w:rsidP="00C40EA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Title Page (with case name and sides identified)</w:t>
      </w:r>
    </w:p>
    <w:p w14:paraId="7D82FB0B" w14:textId="77777777" w:rsidR="00C40EA1" w:rsidRPr="007243B0" w:rsidRDefault="00C40EA1" w:rsidP="00C40EA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Index of Contents</w:t>
      </w:r>
    </w:p>
    <w:p w14:paraId="24E5E037" w14:textId="77777777" w:rsidR="00C40EA1" w:rsidRPr="007243B0" w:rsidRDefault="00C40EA1" w:rsidP="00C40EA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Moot Problem (the scenario)</w:t>
      </w:r>
    </w:p>
    <w:p w14:paraId="21D76431" w14:textId="77777777" w:rsidR="00C40EA1" w:rsidRPr="007243B0" w:rsidRDefault="00C40EA1" w:rsidP="00C40EA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Skeleton Argument (your written submissions)</w:t>
      </w:r>
    </w:p>
    <w:p w14:paraId="5F2B66D8" w14:textId="77777777" w:rsidR="00C40EA1" w:rsidRPr="007243B0" w:rsidRDefault="00C40EA1" w:rsidP="00C40EA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List of Authorities (cases and statutes)</w:t>
      </w:r>
    </w:p>
    <w:p w14:paraId="1F154B68" w14:textId="77777777" w:rsidR="00C40EA1" w:rsidRPr="007243B0" w:rsidRDefault="00C40EA1" w:rsidP="00C40EA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Relevant Extracts from Judgments or Legislation</w:t>
      </w:r>
    </w:p>
    <w:p w14:paraId="3D163477" w14:textId="7CD98C6B" w:rsidR="00C40EA1" w:rsidRPr="007243B0" w:rsidRDefault="00C40EA1" w:rsidP="00C40EA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Appendices (if any)</w:t>
      </w:r>
    </w:p>
    <w:p w14:paraId="17E7A0EF" w14:textId="77777777" w:rsidR="00C40EA1" w:rsidRPr="007243B0" w:rsidRDefault="00C40EA1" w:rsidP="00C40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Formatting Standards</w:t>
      </w:r>
    </w:p>
    <w:p w14:paraId="2C15B34A" w14:textId="77777777" w:rsidR="00C40EA1" w:rsidRPr="007243B0" w:rsidRDefault="00C40EA1" w:rsidP="00C40EA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Use consistent fonts (Arial or Times New Roman, 12pt).</w:t>
      </w:r>
    </w:p>
    <w:p w14:paraId="578BD5C7" w14:textId="77777777" w:rsidR="00C40EA1" w:rsidRPr="007243B0" w:rsidRDefault="00C40EA1" w:rsidP="00C40EA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Paginate every page clearly (e.g., 1, 2, 3…).</w:t>
      </w:r>
    </w:p>
    <w:p w14:paraId="2A952077" w14:textId="77777777" w:rsidR="00C40EA1" w:rsidRPr="007243B0" w:rsidRDefault="00C40EA1" w:rsidP="00C40EA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Number paragraphs within your skeleton argument.</w:t>
      </w:r>
    </w:p>
    <w:p w14:paraId="360B41A9" w14:textId="77777777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B47E194" w14:textId="3BF48184" w:rsidR="00C40EA1" w:rsidRPr="007243B0" w:rsidRDefault="00C40EA1" w:rsidP="003B7F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Submission</w:t>
      </w:r>
    </w:p>
    <w:p w14:paraId="45298358" w14:textId="2E196A1D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lastRenderedPageBreak/>
        <w:t>The deadline for each moot’s bundle will be announced by the Secretary. Late submissions may result in disqualification.</w:t>
      </w:r>
    </w:p>
    <w:p w14:paraId="0004055C" w14:textId="2008A71D" w:rsidR="00C40EA1" w:rsidRPr="007243B0" w:rsidRDefault="00C40EA1" w:rsidP="003B7F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Example of Good Bundle Practice</w:t>
      </w:r>
    </w:p>
    <w:p w14:paraId="182C00F0" w14:textId="1C0ED512" w:rsidR="00C40EA1" w:rsidRPr="007243B0" w:rsidRDefault="00C40EA1" w:rsidP="007A06D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>Clear pagination, uniform formatting, authorities highlighted and listed alphabetically.</w:t>
      </w:r>
    </w:p>
    <w:p w14:paraId="2D2FEB43" w14:textId="339952EB" w:rsidR="00C40EA1" w:rsidRPr="007243B0" w:rsidRDefault="00C40EA1" w:rsidP="007A06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14:ligatures w14:val="none"/>
        </w:rPr>
        <w:t>Example of Poor Bundle Practice</w:t>
      </w:r>
    </w:p>
    <w:p w14:paraId="22612BF4" w14:textId="77777777" w:rsidR="00C40EA1" w:rsidRPr="007243B0" w:rsidRDefault="00C40EA1" w:rsidP="00C40EA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14:ligatures w14:val="none"/>
        </w:rPr>
        <w:t>Mixed fonts, missing authorities, unlabelled pages, and cases cited without page references.</w:t>
      </w:r>
    </w:p>
    <w:p w14:paraId="04DFF57A" w14:textId="77777777" w:rsidR="00C40EA1" w:rsidRPr="007243B0" w:rsidRDefault="00C40EA1" w:rsidP="00C40EA1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14:ligatures w14:val="none"/>
        </w:rPr>
      </w:pPr>
      <w:r w:rsidRPr="007243B0">
        <w:rPr>
          <w:rFonts w:ascii="Times New Roman" w:eastAsia="Times New Roman" w:hAnsi="Times New Roman" w:cs="Times New Roman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4826EF38" wp14:editId="18B40113">
                <wp:extent cx="5943600" cy="1270"/>
                <wp:effectExtent l="0" t="31750" r="0" b="36830"/>
                <wp:docPr id="1114479503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72B494A3" id="Rectangle 7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</w:p>
    <w:p w14:paraId="07105CA5" w14:textId="03719C75" w:rsidR="00C40EA1" w:rsidRPr="007243B0" w:rsidRDefault="00C40EA1" w:rsidP="00F40B4F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color w:val="000000" w:themeColor="text1"/>
          <w:kern w:val="0"/>
          <w:sz w:val="36"/>
          <w:szCs w:val="36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14:ligatures w14:val="none"/>
        </w:rPr>
        <w:t>Section 5 – Writing a Skeleton Argument</w:t>
      </w:r>
    </w:p>
    <w:p w14:paraId="4A2BE998" w14:textId="4010477B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 Skeleton Argument is a concise written outline of your submissions</w:t>
      </w:r>
      <w:r w:rsidR="007D4157">
        <w:rPr>
          <w:rFonts w:ascii="Times New Roman" w:hAnsi="Times New Roman" w:cs="Times New Roman"/>
          <w:kern w:val="0"/>
          <w:sz w:val="28"/>
          <w:szCs w:val="28"/>
          <w14:ligatures w14:val="none"/>
        </w:rPr>
        <w:t>, which functions like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a roadmap for the judges.</w:t>
      </w:r>
    </w:p>
    <w:p w14:paraId="11AD47DC" w14:textId="77777777" w:rsidR="00C40EA1" w:rsidRPr="007243B0" w:rsidRDefault="00C40EA1" w:rsidP="00C40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Structure</w:t>
      </w:r>
    </w:p>
    <w:p w14:paraId="3FAA7C05" w14:textId="77777777" w:rsidR="00C40EA1" w:rsidRPr="007243B0" w:rsidRDefault="00C40EA1" w:rsidP="00C40EA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Heading – Include case name, side represented, and your name.</w:t>
      </w:r>
    </w:p>
    <w:p w14:paraId="0A648F08" w14:textId="77777777" w:rsidR="00C40EA1" w:rsidRPr="007243B0" w:rsidRDefault="00C40EA1" w:rsidP="00C40EA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Grounds of Appeal – List each ground clearly.</w:t>
      </w:r>
    </w:p>
    <w:p w14:paraId="4ECFD6C2" w14:textId="77777777" w:rsidR="00C40EA1" w:rsidRPr="007243B0" w:rsidRDefault="00C40EA1" w:rsidP="00C40EA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Submissions – Set out your legal reasoning and authorities in numbered paragraphs.</w:t>
      </w:r>
    </w:p>
    <w:p w14:paraId="31011AA6" w14:textId="08CE8F5A" w:rsidR="00C40EA1" w:rsidRPr="007243B0" w:rsidRDefault="00C40EA1" w:rsidP="00C40EA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Remedy Sought – End with what you are asking the court to do.</w:t>
      </w:r>
    </w:p>
    <w:p w14:paraId="1268136C" w14:textId="77777777" w:rsidR="00C40EA1" w:rsidRPr="007243B0" w:rsidRDefault="00C40EA1" w:rsidP="00C40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Style</w:t>
      </w:r>
    </w:p>
    <w:p w14:paraId="3DBDC3CB" w14:textId="108ABA65" w:rsidR="00C40EA1" w:rsidRPr="007243B0" w:rsidRDefault="00C40EA1" w:rsidP="00C40E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Be concise</w:t>
      </w:r>
      <w:r w:rsidR="00146788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but precise.</w:t>
      </w:r>
    </w:p>
    <w:p w14:paraId="340D0702" w14:textId="77777777" w:rsidR="00C40EA1" w:rsidRPr="007243B0" w:rsidRDefault="00C40EA1" w:rsidP="00C40E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Use numbered points.</w:t>
      </w:r>
    </w:p>
    <w:p w14:paraId="14ED9C24" w14:textId="7E782675" w:rsidR="00C40EA1" w:rsidRPr="007243B0" w:rsidRDefault="00C40EA1" w:rsidP="00C40EA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Avoid narrative or repetition.</w:t>
      </w:r>
    </w:p>
    <w:p w14:paraId="5E5994C2" w14:textId="28D5793C" w:rsidR="00C40EA1" w:rsidRPr="007243B0" w:rsidRDefault="00C40EA1" w:rsidP="008821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Example of Strong Skeleton Content</w:t>
      </w:r>
    </w:p>
    <w:p w14:paraId="2DACB8B6" w14:textId="77777777" w:rsidR="00C40EA1" w:rsidRPr="007243B0" w:rsidRDefault="00C40EA1" w:rsidP="00C40EA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Ground 1: Proprietary Estoppel</w:t>
      </w:r>
    </w:p>
    <w:p w14:paraId="5636D69D" w14:textId="77777777" w:rsidR="00C40EA1" w:rsidRPr="007243B0" w:rsidRDefault="00C40EA1" w:rsidP="00C40EA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The Appellant contends that the Respondent’s conduct constituted a clear assurance, reasonably relied upon to the Appellant’s detriment, satisfying the principles in Thorner v Major [2009] UKHL 18.</w:t>
      </w:r>
    </w:p>
    <w:p w14:paraId="34720BE5" w14:textId="3E878150" w:rsidR="00C40EA1" w:rsidRPr="007243B0" w:rsidRDefault="00C40EA1" w:rsidP="00C40EA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It is submitted that equity requires enforcement of this expectation to avoid unconscionability, per Gillett v Holt [2001] Ch 210.</w:t>
      </w:r>
    </w:p>
    <w:p w14:paraId="0C81F185" w14:textId="6F78B001" w:rsidR="00C40EA1" w:rsidRPr="007243B0" w:rsidRDefault="00C40EA1" w:rsidP="008821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14:ligatures w14:val="none"/>
        </w:rPr>
        <w:lastRenderedPageBreak/>
        <w:t>Example of Weak Skeleton Content</w:t>
      </w:r>
    </w:p>
    <w:p w14:paraId="701B2174" w14:textId="77777777" w:rsidR="00C40EA1" w:rsidRPr="007243B0" w:rsidRDefault="00C40EA1" w:rsidP="00C40EA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Ground 1: The Appellant was promised something, believed it, and now it’s unfair. So the law should make it right.</w:t>
      </w:r>
    </w:p>
    <w:p w14:paraId="5BDF4A70" w14:textId="77777777" w:rsidR="00C40EA1" w:rsidRPr="007243B0" w:rsidRDefault="00C40EA1" w:rsidP="00C40EA1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14:ligatures w14:val="none"/>
        </w:rPr>
      </w:pPr>
      <w:r w:rsidRPr="007243B0">
        <w:rPr>
          <w:rFonts w:ascii="Times New Roman" w:eastAsia="Times New Roman" w:hAnsi="Times New Roman" w:cs="Times New Roman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4C9A058D" wp14:editId="4BD3CF48">
                <wp:extent cx="5943600" cy="1270"/>
                <wp:effectExtent l="0" t="31750" r="0" b="36830"/>
                <wp:docPr id="622947683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364C3197" id="Rectangle 6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</w:p>
    <w:p w14:paraId="0D84F97A" w14:textId="0404FD52" w:rsidR="00C40EA1" w:rsidRPr="007243B0" w:rsidRDefault="00C40EA1" w:rsidP="00882153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color w:val="000000" w:themeColor="text1"/>
          <w:kern w:val="0"/>
          <w:sz w:val="36"/>
          <w:szCs w:val="36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14:ligatures w14:val="none"/>
        </w:rPr>
        <w:t>Section 6 – Delivering Oral Submissions</w:t>
      </w:r>
    </w:p>
    <w:p w14:paraId="1EC2D598" w14:textId="4E76D5EE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Your oral submissions are your chance to persuade. They must be confident, respectful, and structured.</w:t>
      </w:r>
    </w:p>
    <w:p w14:paraId="27356CBF" w14:textId="0F845B88" w:rsidR="00C40EA1" w:rsidRPr="007243B0" w:rsidRDefault="00C40EA1" w:rsidP="0056543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Opening Address</w:t>
      </w:r>
    </w:p>
    <w:p w14:paraId="6E51892C" w14:textId="1ACD9C99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Always begin by introducing yourself and your role:</w:t>
      </w:r>
    </w:p>
    <w:p w14:paraId="5E0BED4A" w14:textId="200B9E53" w:rsidR="00C40EA1" w:rsidRPr="007243B0" w:rsidRDefault="00C40EA1" w:rsidP="007350B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“May it please the Court, my name i</w:t>
      </w:r>
      <w:r w:rsidR="000B7384"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s… </w:t>
      </w: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, appearing on behalf of the Appellant</w:t>
      </w:r>
      <w:r w:rsidR="000B7384"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/Defendant</w:t>
      </w: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. I will be addressing the Court on three Grounds of Appeal.”</w:t>
      </w:r>
    </w:p>
    <w:p w14:paraId="7CAAC384" w14:textId="7D3CE1B6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Avoid casual openings such as:</w:t>
      </w:r>
    </w:p>
    <w:p w14:paraId="458769C3" w14:textId="23AC038C" w:rsidR="00C40EA1" w:rsidRPr="007243B0" w:rsidRDefault="00C40EA1" w:rsidP="007350B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“Hi everyone, so today I’ll be arguing that…”</w:t>
      </w:r>
    </w:p>
    <w:p w14:paraId="76F13D4C" w14:textId="77777777" w:rsidR="00C40EA1" w:rsidRPr="007243B0" w:rsidRDefault="00C40EA1" w:rsidP="00C40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Structure</w:t>
      </w:r>
    </w:p>
    <w:p w14:paraId="1FC97630" w14:textId="77777777" w:rsidR="00C40EA1" w:rsidRPr="007243B0" w:rsidRDefault="00C40EA1" w:rsidP="00C40EA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Briefly summarise the facts (without re-reading them).</w:t>
      </w:r>
    </w:p>
    <w:p w14:paraId="0EC7C05E" w14:textId="0E31CFCC" w:rsidR="00C40EA1" w:rsidRPr="007243B0" w:rsidRDefault="00C40EA1" w:rsidP="00C40EA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Introduce each Ground clearly.</w:t>
      </w:r>
    </w:p>
    <w:p w14:paraId="202BA114" w14:textId="77777777" w:rsidR="00C40EA1" w:rsidRPr="007243B0" w:rsidRDefault="00C40EA1" w:rsidP="00C40EA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Present the law, apply it to the facts, then conclude.</w:t>
      </w:r>
    </w:p>
    <w:p w14:paraId="5F163346" w14:textId="064FE63F" w:rsidR="00C40EA1" w:rsidRPr="007243B0" w:rsidRDefault="00C40EA1" w:rsidP="00C40EA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Maintain signposting: “Turning now to my second submission…”</w:t>
      </w:r>
    </w:p>
    <w:p w14:paraId="71B9FB30" w14:textId="77777777" w:rsidR="00C40EA1" w:rsidRPr="007243B0" w:rsidRDefault="00C40EA1" w:rsidP="00C40EA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Handling Judicial Questions</w:t>
      </w:r>
    </w:p>
    <w:p w14:paraId="06E65CD3" w14:textId="77777777" w:rsidR="00C40EA1" w:rsidRPr="007243B0" w:rsidRDefault="00C40EA1" w:rsidP="00C40EA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Listen fully before responding.</w:t>
      </w:r>
    </w:p>
    <w:p w14:paraId="4E83ABD8" w14:textId="77777777" w:rsidR="00C40EA1" w:rsidRPr="007243B0" w:rsidRDefault="00C40EA1" w:rsidP="00C40EA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Acknowledge the question (“Yes, Your Honour”) and then answer directly.</w:t>
      </w:r>
    </w:p>
    <w:p w14:paraId="23254477" w14:textId="5D2AA57D" w:rsidR="00C40EA1" w:rsidRPr="007243B0" w:rsidRDefault="00C40EA1" w:rsidP="00C40EA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If unsure, </w:t>
      </w:r>
      <w:r w:rsidR="00515A23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for example 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say: “Your Honour, I cannot cite that authority immediately, but I believe it aligns with the reasoning in [case].”</w:t>
      </w:r>
    </w:p>
    <w:p w14:paraId="248144BB" w14:textId="77777777" w:rsidR="003B509D" w:rsidRPr="007243B0" w:rsidRDefault="00C40EA1" w:rsidP="003B50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</w:t>
      </w:r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14:ligatures w14:val="none"/>
        </w:rPr>
        <w:t>ample of Strong Response</w:t>
      </w:r>
    </w:p>
    <w:p w14:paraId="248943C8" w14:textId="63951753" w:rsidR="00C40EA1" w:rsidRPr="007243B0" w:rsidRDefault="00C40EA1" w:rsidP="003B509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“Your Honour, that is a valid concern. However, the distinction here lies in reliance </w:t>
      </w:r>
      <w:r w:rsidR="00AA40B6"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of that statement</w:t>
      </w:r>
      <w:r w:rsidR="00246131"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:</w:t>
      </w: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the Appellant acted upon a specific assurance, unlike the general expectations rejected in Jennings v Rice.”</w:t>
      </w:r>
    </w:p>
    <w:p w14:paraId="573F2882" w14:textId="69ACB985" w:rsidR="00C40EA1" w:rsidRPr="007243B0" w:rsidRDefault="00C40EA1" w:rsidP="002461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14:ligatures w14:val="none"/>
        </w:rPr>
        <w:lastRenderedPageBreak/>
        <w:t>Example of Weak Response</w:t>
      </w:r>
    </w:p>
    <w:p w14:paraId="2D01DECA" w14:textId="77777777" w:rsidR="00C40EA1" w:rsidRPr="007243B0" w:rsidRDefault="00C40EA1" w:rsidP="00C40EA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“I don’t really know, but I think it’s different because this case feels more unfair.”</w:t>
      </w:r>
    </w:p>
    <w:p w14:paraId="3BCCC3E0" w14:textId="77777777" w:rsidR="00C40EA1" w:rsidRPr="007243B0" w:rsidRDefault="00C40EA1" w:rsidP="00C40EA1">
      <w:pPr>
        <w:spacing w:after="0" w:line="240" w:lineRule="auto"/>
        <w:rPr>
          <w:rFonts w:ascii="Times New Roman" w:hAnsi="Times New Roman" w:cs="Times New Roman"/>
          <w:color w:val="000000" w:themeColor="text1"/>
          <w:kern w:val="0"/>
          <w14:ligatures w14:val="none"/>
        </w:rPr>
      </w:pPr>
      <w:r w:rsidRPr="007243B0">
        <w:rPr>
          <w:rFonts w:ascii="Times New Roman" w:eastAsia="Times New Roman" w:hAnsi="Times New Roman" w:cs="Times New Roman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17C3EDED" wp14:editId="528B5EBC">
                <wp:extent cx="5943600" cy="1270"/>
                <wp:effectExtent l="0" t="31750" r="0" b="36830"/>
                <wp:docPr id="1295930035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73A0C757" id="Rectangle 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</w:p>
    <w:p w14:paraId="78CA0998" w14:textId="22561283" w:rsidR="00C40EA1" w:rsidRPr="007243B0" w:rsidRDefault="00C40EA1" w:rsidP="00246131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color w:val="000000" w:themeColor="text1"/>
          <w:kern w:val="0"/>
          <w:sz w:val="36"/>
          <w:szCs w:val="36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14:ligatures w14:val="none"/>
        </w:rPr>
        <w:t>Section 7 – Rebuttals and Judicial Interaction</w:t>
      </w:r>
    </w:p>
    <w:p w14:paraId="79DEFA0F" w14:textId="77777777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After both parties have presented, judges may highlight perceived weaknesses.</w:t>
      </w:r>
    </w:p>
    <w:p w14:paraId="0951B289" w14:textId="2F2EC8F4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This is your opportunity to rebut</w:t>
      </w:r>
      <w:r w:rsidR="00FB6E78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,</w:t>
      </w: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not to arg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ue back emotionally, but to logically clarify or correct.</w:t>
      </w:r>
    </w:p>
    <w:p w14:paraId="5748133A" w14:textId="30E00CB6" w:rsidR="00C40EA1" w:rsidRPr="007243B0" w:rsidRDefault="00C40EA1" w:rsidP="00FB6E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Effective Rebuttal Example</w:t>
      </w:r>
    </w:p>
    <w:p w14:paraId="0FE04087" w14:textId="2D23C135" w:rsidR="00C40EA1" w:rsidRPr="007243B0" w:rsidRDefault="00455958" w:rsidP="00C25196">
      <w:pPr>
        <w:spacing w:after="0" w:line="240" w:lineRule="auto"/>
        <w:rPr>
          <w:rFonts w:ascii="Times New Roman" w:eastAsia="Times New Roman" w:hAnsi="Times New Roman" w:cs="Times New Roman"/>
          <w:color w:val="FFFFFF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“Y</w:t>
      </w:r>
      <w:r w:rsidR="00C40EA1"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our Honour, while my learned friend referred to </w:t>
      </w: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“</w:t>
      </w:r>
      <w:r w:rsidR="00C40EA1"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Link Lending v Bustard</w:t>
      </w: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”</w:t>
      </w:r>
      <w:r w:rsidR="00C40EA1"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to emphasise actual occupation, it is submitted that the factual matrix here lacks continuous presence, rendering that precedent distinguishable.”</w:t>
      </w:r>
    </w:p>
    <w:p w14:paraId="1DEBE1F2" w14:textId="4FB7CEB1" w:rsidR="00C40EA1" w:rsidRPr="007243B0" w:rsidRDefault="00C40EA1" w:rsidP="00C2519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7"/>
          <w:szCs w:val="27"/>
          <w14:ligatures w14:val="none"/>
        </w:rPr>
        <w:t>Ineffective Rebuttal Example</w:t>
      </w:r>
    </w:p>
    <w:p w14:paraId="43C347C9" w14:textId="59813E3B" w:rsidR="00C40EA1" w:rsidRPr="007243B0" w:rsidRDefault="00C40EA1" w:rsidP="00C2519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“I disagree with what they said because my side’s argument is stronger.”</w:t>
      </w:r>
    </w:p>
    <w:p w14:paraId="35A5B0D4" w14:textId="3753B95C" w:rsidR="00C40EA1" w:rsidRPr="007243B0" w:rsidRDefault="00C40EA1" w:rsidP="00C40EA1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>Remember: rebuttals are about precision, not passion.</w:t>
      </w:r>
      <w:r w:rsidR="005255B5" w:rsidRPr="007243B0">
        <w:rPr>
          <w:rFonts w:ascii="Times New Roman" w:hAnsi="Times New Roman" w:cs="Times New Roman"/>
          <w:color w:val="000000" w:themeColor="text1"/>
          <w:kern w:val="0"/>
          <w:sz w:val="28"/>
          <w:szCs w:val="28"/>
          <w14:ligatures w14:val="none"/>
        </w:rPr>
        <w:t xml:space="preserve"> Your emotions are irrelevant.</w:t>
      </w:r>
    </w:p>
    <w:p w14:paraId="307D8172" w14:textId="77777777" w:rsidR="00C40EA1" w:rsidRPr="007243B0" w:rsidRDefault="00C40EA1" w:rsidP="00C40EA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14:ligatures w14:val="none"/>
        </w:rPr>
      </w:pPr>
      <w:r w:rsidRPr="007243B0">
        <w:rPr>
          <w:rFonts w:ascii="Times New Roman" w:eastAsia="Times New Roman" w:hAnsi="Times New Roman" w:cs="Times New Roman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47BE30A2" wp14:editId="665C84A0">
                <wp:extent cx="5943600" cy="1270"/>
                <wp:effectExtent l="0" t="31750" r="0" b="36830"/>
                <wp:docPr id="1474877133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6AF334D8" id="Rectangle 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</w:p>
    <w:p w14:paraId="59DBB061" w14:textId="77777777" w:rsidR="00C40EA1" w:rsidRPr="007243B0" w:rsidRDefault="00C40EA1" w:rsidP="00C40EA1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color w:val="000000" w:themeColor="text1"/>
          <w:kern w:val="0"/>
          <w:sz w:val="36"/>
          <w:szCs w:val="36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6"/>
          <w:szCs w:val="36"/>
          <w14:ligatures w14:val="none"/>
        </w:rPr>
        <w:t>Section 8 – Common Mistakes and How to Avoid Them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4"/>
        <w:gridCol w:w="2848"/>
        <w:gridCol w:w="3698"/>
      </w:tblGrid>
      <w:tr w:rsidR="00FB6E78" w:rsidRPr="007243B0" w14:paraId="0ADB418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0A5B65" w14:textId="77777777" w:rsidR="00C40EA1" w:rsidRPr="007243B0" w:rsidRDefault="00C40EA1" w:rsidP="00C40E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7243B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Common Mistake</w:t>
            </w:r>
          </w:p>
        </w:tc>
        <w:tc>
          <w:tcPr>
            <w:tcW w:w="0" w:type="auto"/>
            <w:vAlign w:val="center"/>
            <w:hideMark/>
          </w:tcPr>
          <w:p w14:paraId="14610996" w14:textId="77777777" w:rsidR="00C40EA1" w:rsidRPr="007243B0" w:rsidRDefault="00C40EA1" w:rsidP="00C40E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7243B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Why It’s a Problem</w:t>
            </w:r>
          </w:p>
        </w:tc>
        <w:tc>
          <w:tcPr>
            <w:tcW w:w="0" w:type="auto"/>
            <w:vAlign w:val="center"/>
            <w:hideMark/>
          </w:tcPr>
          <w:p w14:paraId="69B97570" w14:textId="77777777" w:rsidR="00C40EA1" w:rsidRPr="007243B0" w:rsidRDefault="00C40EA1" w:rsidP="00C40E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</w:pPr>
            <w:r w:rsidRPr="007243B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14:ligatures w14:val="none"/>
              </w:rPr>
              <w:t>How to Avoid It</w:t>
            </w:r>
          </w:p>
        </w:tc>
      </w:tr>
      <w:tr w:rsidR="00FB6E78" w:rsidRPr="007243B0" w14:paraId="603824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6C8FFD" w14:textId="77777777" w:rsidR="00C40EA1" w:rsidRPr="007243B0" w:rsidRDefault="00C40EA1" w:rsidP="00C40EA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7243B0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  <w:t>Reading from a script</w:t>
            </w:r>
          </w:p>
        </w:tc>
        <w:tc>
          <w:tcPr>
            <w:tcW w:w="0" w:type="auto"/>
            <w:vAlign w:val="center"/>
            <w:hideMark/>
          </w:tcPr>
          <w:p w14:paraId="17DC9123" w14:textId="77777777" w:rsidR="00C40EA1" w:rsidRPr="007243B0" w:rsidRDefault="00C40EA1" w:rsidP="00C40EA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7243B0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  <w:t>Sounds robotic and disengaged</w:t>
            </w:r>
          </w:p>
        </w:tc>
        <w:tc>
          <w:tcPr>
            <w:tcW w:w="0" w:type="auto"/>
            <w:vAlign w:val="center"/>
            <w:hideMark/>
          </w:tcPr>
          <w:p w14:paraId="03B8B659" w14:textId="77777777" w:rsidR="00C40EA1" w:rsidRPr="007243B0" w:rsidRDefault="00C40EA1" w:rsidP="00C40EA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7243B0">
              <w:rPr>
                <w:rFonts w:ascii="Times New Roman" w:hAnsi="Times New Roman" w:cs="Times New Roman"/>
                <w:color w:val="000000" w:themeColor="text1"/>
                <w:kern w:val="0"/>
                <w:sz w:val="28"/>
                <w:szCs w:val="28"/>
                <w14:ligatures w14:val="none"/>
              </w:rPr>
              <w:t>Memorise key phrases, not entire speeches</w:t>
            </w:r>
          </w:p>
        </w:tc>
      </w:tr>
      <w:tr w:rsidR="00C40EA1" w:rsidRPr="007243B0" w14:paraId="6BEC13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DD878F" w14:textId="77777777" w:rsidR="00C40EA1" w:rsidRPr="007243B0" w:rsidRDefault="00C40EA1" w:rsidP="00C40EA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243B0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Ignoring judicial questions</w:t>
            </w:r>
          </w:p>
        </w:tc>
        <w:tc>
          <w:tcPr>
            <w:tcW w:w="0" w:type="auto"/>
            <w:vAlign w:val="center"/>
            <w:hideMark/>
          </w:tcPr>
          <w:p w14:paraId="21A66E37" w14:textId="77777777" w:rsidR="00C40EA1" w:rsidRPr="007243B0" w:rsidRDefault="00C40EA1" w:rsidP="00C40EA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243B0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Disrespectful and loses marks</w:t>
            </w:r>
          </w:p>
        </w:tc>
        <w:tc>
          <w:tcPr>
            <w:tcW w:w="0" w:type="auto"/>
            <w:vAlign w:val="center"/>
            <w:hideMark/>
          </w:tcPr>
          <w:p w14:paraId="08DEF1BA" w14:textId="77777777" w:rsidR="00C40EA1" w:rsidRPr="007243B0" w:rsidRDefault="00C40EA1" w:rsidP="00C40EA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243B0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Pause, listen, and answer calmly</w:t>
            </w:r>
          </w:p>
        </w:tc>
      </w:tr>
      <w:tr w:rsidR="00C40EA1" w:rsidRPr="007243B0" w14:paraId="0AF1F6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B353C2" w14:textId="77777777" w:rsidR="00C40EA1" w:rsidRPr="007243B0" w:rsidRDefault="00C40EA1" w:rsidP="00C40EA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243B0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Quoting cases without relevance</w:t>
            </w:r>
          </w:p>
        </w:tc>
        <w:tc>
          <w:tcPr>
            <w:tcW w:w="0" w:type="auto"/>
            <w:vAlign w:val="center"/>
            <w:hideMark/>
          </w:tcPr>
          <w:p w14:paraId="2CA114AA" w14:textId="77777777" w:rsidR="00C40EA1" w:rsidRPr="007243B0" w:rsidRDefault="00C40EA1" w:rsidP="00C40EA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243B0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Shows lack of understanding</w:t>
            </w:r>
          </w:p>
        </w:tc>
        <w:tc>
          <w:tcPr>
            <w:tcW w:w="0" w:type="auto"/>
            <w:vAlign w:val="center"/>
            <w:hideMark/>
          </w:tcPr>
          <w:p w14:paraId="3AA299C5" w14:textId="77777777" w:rsidR="00C40EA1" w:rsidRPr="007243B0" w:rsidRDefault="00C40EA1" w:rsidP="00C40EA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243B0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Always explain why the case matters</w:t>
            </w:r>
          </w:p>
        </w:tc>
      </w:tr>
      <w:tr w:rsidR="00C40EA1" w:rsidRPr="007243B0" w14:paraId="23CD1D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8A87D4" w14:textId="77777777" w:rsidR="00C40EA1" w:rsidRPr="007243B0" w:rsidRDefault="00C40EA1" w:rsidP="00C40EA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243B0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Overly casual language</w:t>
            </w:r>
          </w:p>
        </w:tc>
        <w:tc>
          <w:tcPr>
            <w:tcW w:w="0" w:type="auto"/>
            <w:vAlign w:val="center"/>
            <w:hideMark/>
          </w:tcPr>
          <w:p w14:paraId="0089CF79" w14:textId="77777777" w:rsidR="00C40EA1" w:rsidRPr="007243B0" w:rsidRDefault="00C40EA1" w:rsidP="00C40EA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243B0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Reduces professionalism</w:t>
            </w:r>
          </w:p>
        </w:tc>
        <w:tc>
          <w:tcPr>
            <w:tcW w:w="0" w:type="auto"/>
            <w:vAlign w:val="center"/>
            <w:hideMark/>
          </w:tcPr>
          <w:p w14:paraId="41E90762" w14:textId="77777777" w:rsidR="00C40EA1" w:rsidRPr="007243B0" w:rsidRDefault="00C40EA1" w:rsidP="00C40EA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243B0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Maintain courtroom decorum</w:t>
            </w:r>
          </w:p>
        </w:tc>
      </w:tr>
      <w:tr w:rsidR="00C40EA1" w:rsidRPr="007243B0" w14:paraId="71C08E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FD6006" w14:textId="77777777" w:rsidR="00C40EA1" w:rsidRPr="007243B0" w:rsidRDefault="00C40EA1" w:rsidP="00C40EA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243B0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Poor time management</w:t>
            </w:r>
          </w:p>
        </w:tc>
        <w:tc>
          <w:tcPr>
            <w:tcW w:w="0" w:type="auto"/>
            <w:vAlign w:val="center"/>
            <w:hideMark/>
          </w:tcPr>
          <w:p w14:paraId="29598725" w14:textId="77777777" w:rsidR="00C40EA1" w:rsidRPr="007243B0" w:rsidRDefault="00C40EA1" w:rsidP="00C40EA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243B0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Leads to rushed final points</w:t>
            </w:r>
          </w:p>
        </w:tc>
        <w:tc>
          <w:tcPr>
            <w:tcW w:w="0" w:type="auto"/>
            <w:vAlign w:val="center"/>
            <w:hideMark/>
          </w:tcPr>
          <w:p w14:paraId="6AA25C6C" w14:textId="4E361E83" w:rsidR="00C40EA1" w:rsidRPr="007243B0" w:rsidRDefault="00537F2D" w:rsidP="00C40EA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243B0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Practice</w:t>
            </w:r>
            <w:r w:rsidR="00C40EA1" w:rsidRPr="007243B0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with a timer and prioritise key grounds</w:t>
            </w:r>
          </w:p>
        </w:tc>
      </w:tr>
    </w:tbl>
    <w:p w14:paraId="03184062" w14:textId="77777777" w:rsidR="00C40EA1" w:rsidRPr="007243B0" w:rsidRDefault="00C40EA1" w:rsidP="00C40EA1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7243B0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mc:AlternateContent>
          <mc:Choice Requires="wps">
            <w:drawing>
              <wp:inline distT="0" distB="0" distL="0" distR="0" wp14:anchorId="0658DCCC" wp14:editId="1A1B3C74">
                <wp:extent cx="5943600" cy="1270"/>
                <wp:effectExtent l="0" t="31750" r="0" b="36830"/>
                <wp:docPr id="1348979233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4FF63604" id="Rectangle 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</w:p>
    <w:p w14:paraId="546AA746" w14:textId="77777777" w:rsidR="00C40EA1" w:rsidRPr="007243B0" w:rsidRDefault="00C40EA1" w:rsidP="00C40EA1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243B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9 – Advanced Preparation and Continuing Development</w:t>
      </w:r>
    </w:p>
    <w:p w14:paraId="1AA000B3" w14:textId="77777777" w:rsidR="00C40EA1" w:rsidRPr="007243B0" w:rsidRDefault="00C40EA1" w:rsidP="00C40EA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Build a Personal Case Bank</w:t>
      </w:r>
    </w:p>
    <w:p w14:paraId="07479C76" w14:textId="415D9346" w:rsidR="00C40EA1" w:rsidRPr="007243B0" w:rsidRDefault="00C40EA1" w:rsidP="000C4C39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Maintain a list of key cases with short notes for future use.</w:t>
      </w:r>
      <w:r w:rsidR="00956F57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(Especially good for your LLB Law course and your career).</w:t>
      </w:r>
    </w:p>
    <w:p w14:paraId="614A0EA4" w14:textId="77777777" w:rsidR="00C40EA1" w:rsidRPr="007243B0" w:rsidRDefault="00C40EA1" w:rsidP="00C40EA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Review and Reflect</w:t>
      </w:r>
    </w:p>
    <w:p w14:paraId="7120971F" w14:textId="18A53340" w:rsidR="00C40EA1" w:rsidRPr="007243B0" w:rsidRDefault="00C40EA1" w:rsidP="000C4C39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After each moot, note what went well and what could improve.</w:t>
      </w:r>
      <w:r w:rsidR="00107CB2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It is encouraged that you interact with the judge</w:t>
      </w:r>
      <w:r w:rsidR="00A11748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after the moot to discuss better </w:t>
      </w:r>
      <w:r w:rsidR="003E159F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strategies to improve your performance.</w:t>
      </w:r>
    </w:p>
    <w:p w14:paraId="0A526F89" w14:textId="77777777" w:rsidR="00C40EA1" w:rsidRPr="007243B0" w:rsidRDefault="00C40EA1" w:rsidP="00C40EA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Observe Real Advocacy</w:t>
      </w:r>
    </w:p>
    <w:p w14:paraId="178D8435" w14:textId="16511BDF" w:rsidR="00C40EA1" w:rsidRPr="007243B0" w:rsidRDefault="00C40EA1" w:rsidP="000C4C39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Attend virtual or in-person hearings at the Civil Justice Centre</w:t>
      </w:r>
      <w:r w:rsidR="003E159F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r w:rsidR="00181328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Lower Courts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or watch Supreme Court live streams.</w:t>
      </w:r>
    </w:p>
    <w:p w14:paraId="2B15A9E4" w14:textId="57C37F58" w:rsidR="00C40EA1" w:rsidRPr="007243B0" w:rsidRDefault="00C40EA1" w:rsidP="00C40EA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Collaborate and </w:t>
      </w:r>
      <w:r w:rsidR="00537F2D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Practice</w:t>
      </w:r>
    </w:p>
    <w:p w14:paraId="792351FD" w14:textId="081698FD" w:rsidR="00C40EA1" w:rsidRPr="007243B0" w:rsidRDefault="00C40EA1" w:rsidP="000C4C39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Arrange mock moots with peers</w:t>
      </w:r>
      <w:r w:rsidR="00181328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It all </w:t>
      </w:r>
      <w:r w:rsidR="003F470D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starts with 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consistency</w:t>
      </w:r>
      <w:r w:rsidR="003F470D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to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build</w:t>
      </w:r>
      <w:r w:rsidR="003F470D"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confidence.</w:t>
      </w:r>
    </w:p>
    <w:p w14:paraId="7F7553C5" w14:textId="77777777" w:rsidR="000C4C39" w:rsidRPr="007243B0" w:rsidRDefault="00C40EA1" w:rsidP="000C4C3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Maintain Professional Growth</w:t>
      </w:r>
    </w:p>
    <w:p w14:paraId="26500DB0" w14:textId="531B96BD" w:rsidR="00C40EA1" w:rsidRPr="007243B0" w:rsidRDefault="00C40EA1" w:rsidP="000C4C39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7243B0">
        <w:rPr>
          <w:rFonts w:ascii="Times New Roman" w:hAnsi="Times New Roman" w:cs="Times New Roman"/>
          <w:kern w:val="0"/>
          <w:sz w:val="28"/>
          <w:szCs w:val="28"/>
          <w14:ligatures w14:val="none"/>
        </w:rPr>
        <w:t>Mooting is not about perfection but progression. Every moot is a step closer to becoming a persuasive, disciplined advocate.</w:t>
      </w:r>
    </w:p>
    <w:p w14:paraId="358B34F1" w14:textId="00440D11" w:rsidR="00A61ABA" w:rsidRPr="0024246A" w:rsidRDefault="00C40EA1" w:rsidP="00537F2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243B0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21EAE66A" wp14:editId="4B9633CB">
                <wp:extent cx="5943600" cy="1270"/>
                <wp:effectExtent l="0" t="31750" r="0" b="36830"/>
                <wp:docPr id="1773749159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ect w14:anchorId="0D0D7263" id="Rectangle 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oKhRAIAAH8EAAAOAAAAZHJzL2Uyb0RvYy54bWysVNuO2yAQfa/Uf0C8N47TZLNrxVlF2d2q&#10;0vYibas+E4xtVMzQgcRJv74Dzq3tW9VYQgMDh3PmMFnc7zvDdgq9BlvyfDTmTFkJlbZNyb9+eXpz&#10;y5kPwlbCgFUlPyjP75evXy16V6gJtGAqhYxArC96V/I2BFdkmZet6oQfgVOWkjVgJwJNsckqFD2h&#10;dyabjMc3WQ9YOQSpvKfVhyHJlwm/rpUMn+raq8BMyYlbSCOmcRPHbLkQRYPCtVoeaYh/YNEJbenS&#10;M9SDCIJtUf8F1WmJ4KEOIwldBnWtpUoaSE0+/kPNSyucSlqoON6dy+T/H6z8uHtxnzFS9+4Z5HfP&#10;LKxbYRu18o7KR6byyxIi9K0SFTHIY+2y3vnijBEnntDYpv8AFbkttgFSWfY1dvEOEsz2qfqHc/XV&#10;PjBJi9P8Jp/OJzPOJCXzyTy5k4nidNihD+8UdCwGJUdil8DF7tmHSEYUpy3xLgtP2phksLGsL/nd&#10;jMCPJlUxxxDCNx3aVOfIJyU9oQ0Bc0BCh2WPzWZtkO0EvaTVOH6pAGS5v96dj+MvIf125PFt/K6O&#10;ENvmdJXRllHJSz6bDscHNfQuE8+I3+lAjWJ0V/Lb8x5RRDMebZVUBqHNEBO2sUd3oiGxHXyxgepA&#10;5pDoKCp2LQUt4E/OeuqAkvsfW4GKM/Peku67fDqNLZMm09l8QhO8zmyuM8JKgip54KQkhuswtNnW&#10;oW7a9I6iDgsrehS1ToZdWB3J0itPPh47MrbR9TztuvxvLH8BAAD//wMAUEsDBBQABgAIAAAAIQDA&#10;kygi2AAAAAIBAAAPAAAAZHJzL2Rvd25yZXYueG1sTI/BTsMwEETvSP0Haytxo06LqGiIU6WIXivR&#10;IkFvbrzYUeN1FLtN+HsWLnAZaTSrmbfFevStuGIfm0AK5rMMBFIdTENWwdthe/cIIiZNRreBUMEX&#10;RliXk5tC5yYM9IrXfbKCSyjmWoFLqculjLVDr+MsdEicfYbe68S2t9L0euBy38pFli2l1w3xgtMd&#10;Pjusz/uLV/DSHXfVg42yek/u4xw2w9btrFK307F6ApFwTH/H8IPP6FAy0ylcyETRKuBH0q9ytrpf&#10;sj0pWIAsC/kfvfwGAAD//wMAUEsBAi0AFAAGAAgAAAAhALaDOJL+AAAA4QEAABMAAAAAAAAAAAAA&#10;AAAAAAAAAFtDb250ZW50X1R5cGVzXS54bWxQSwECLQAUAAYACAAAACEAOP0h/9YAAACUAQAACwAA&#10;AAAAAAAAAAAAAAAvAQAAX3JlbHMvLnJlbHNQSwECLQAUAAYACAAAACEAUzKCoUQCAAB/BAAADgAA&#10;AAAAAAAAAAAAAAAuAgAAZHJzL2Uyb0RvYy54bWxQSwECLQAUAAYACAAAACEAwJMoItgAAAACAQAA&#10;DwAAAAAAAAAAAAAAAACeBAAAZHJzL2Rvd25yZXYueG1sUEsFBgAAAAAEAAQA8wAAAKMFAAAAAA==&#10;" filled="f">
                <o:lock v:ext="edit" aspectratio="t"/>
                <w10:anchorlock/>
              </v:rect>
            </w:pict>
          </mc:Fallback>
        </mc:AlternateContent>
      </w:r>
    </w:p>
    <w:sectPr w:rsidR="00A61ABA" w:rsidRPr="0024246A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28FCF" w14:textId="77777777" w:rsidR="00722633" w:rsidRPr="007243B0" w:rsidRDefault="00722633" w:rsidP="00FC666A">
      <w:pPr>
        <w:spacing w:after="0" w:line="240" w:lineRule="auto"/>
      </w:pPr>
      <w:r w:rsidRPr="007243B0">
        <w:separator/>
      </w:r>
    </w:p>
  </w:endnote>
  <w:endnote w:type="continuationSeparator" w:id="0">
    <w:p w14:paraId="78F3A7A9" w14:textId="77777777" w:rsidR="00722633" w:rsidRPr="007243B0" w:rsidRDefault="00722633" w:rsidP="00FC666A">
      <w:pPr>
        <w:spacing w:after="0" w:line="240" w:lineRule="auto"/>
      </w:pPr>
      <w:r w:rsidRPr="007243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iragino Mincho ProN">
    <w:altName w:val="Cambria"/>
    <w:charset w:val="00"/>
    <w:family w:val="roman"/>
    <w:pitch w:val="default"/>
  </w:font>
  <w:font w:name="HiraMinProN-W3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30617306"/>
      <w:docPartObj>
        <w:docPartGallery w:val="Page Numbers (Bottom of Page)"/>
        <w:docPartUnique/>
      </w:docPartObj>
    </w:sdtPr>
    <w:sdtContent>
      <w:p w14:paraId="441F5BFF" w14:textId="1B408152" w:rsidR="00135F26" w:rsidRPr="007243B0" w:rsidRDefault="00135F26" w:rsidP="00222865">
        <w:pPr>
          <w:pStyle w:val="Footer"/>
          <w:framePr w:wrap="none" w:vAnchor="text" w:hAnchor="margin" w:xAlign="right" w:y="1"/>
          <w:jc w:val="right"/>
          <w:rPr>
            <w:rStyle w:val="PageNumber"/>
          </w:rPr>
        </w:pPr>
        <w:r w:rsidRPr="007243B0">
          <w:rPr>
            <w:rStyle w:val="PageNumber"/>
          </w:rPr>
          <w:fldChar w:fldCharType="begin"/>
        </w:r>
        <w:r w:rsidRPr="007243B0">
          <w:rPr>
            <w:rStyle w:val="PageNumber"/>
          </w:rPr>
          <w:instrText xml:space="preserve"> PAGE </w:instrText>
        </w:r>
        <w:r w:rsidRPr="007243B0">
          <w:rPr>
            <w:rStyle w:val="PageNumber"/>
          </w:rPr>
          <w:fldChar w:fldCharType="end"/>
        </w:r>
      </w:p>
    </w:sdtContent>
  </w:sdt>
  <w:p w14:paraId="580E17FA" w14:textId="77777777" w:rsidR="00FC666A" w:rsidRPr="007243B0" w:rsidRDefault="00FC666A" w:rsidP="00135F2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98239310"/>
      <w:docPartObj>
        <w:docPartGallery w:val="Page Numbers (Bottom of Page)"/>
        <w:docPartUnique/>
      </w:docPartObj>
    </w:sdtPr>
    <w:sdtContent>
      <w:p w14:paraId="39270957" w14:textId="5270E48C" w:rsidR="00135F26" w:rsidRPr="007243B0" w:rsidRDefault="00135F26" w:rsidP="00222865">
        <w:pPr>
          <w:pStyle w:val="Footer"/>
          <w:framePr w:wrap="none" w:vAnchor="text" w:hAnchor="margin" w:xAlign="right" w:y="1"/>
          <w:jc w:val="right"/>
          <w:rPr>
            <w:rStyle w:val="PageNumber"/>
          </w:rPr>
        </w:pPr>
        <w:r w:rsidRPr="007243B0">
          <w:rPr>
            <w:rStyle w:val="PageNumber"/>
          </w:rPr>
          <w:fldChar w:fldCharType="begin"/>
        </w:r>
        <w:r w:rsidRPr="007243B0">
          <w:rPr>
            <w:rStyle w:val="PageNumber"/>
          </w:rPr>
          <w:instrText xml:space="preserve"> PAGE </w:instrText>
        </w:r>
        <w:r w:rsidRPr="007243B0">
          <w:rPr>
            <w:rStyle w:val="PageNumber"/>
          </w:rPr>
          <w:fldChar w:fldCharType="separate"/>
        </w:r>
        <w:r w:rsidRPr="007243B0">
          <w:rPr>
            <w:rStyle w:val="PageNumber"/>
          </w:rPr>
          <w:t>3</w:t>
        </w:r>
        <w:r w:rsidRPr="007243B0">
          <w:rPr>
            <w:rStyle w:val="PageNumber"/>
          </w:rPr>
          <w:fldChar w:fldCharType="end"/>
        </w:r>
      </w:p>
    </w:sdtContent>
  </w:sdt>
  <w:p w14:paraId="2A0FE4C5" w14:textId="2BEC2A0A" w:rsidR="00FC666A" w:rsidRPr="007243B0" w:rsidRDefault="00FC666A" w:rsidP="00135F26">
    <w:pPr>
      <w:pStyle w:val="Footer"/>
      <w:ind w:right="360"/>
    </w:pPr>
    <w:r w:rsidRPr="007243B0">
      <w:t xml:space="preserve">BCU Law and </w:t>
    </w:r>
    <w:r w:rsidR="007243B0" w:rsidRPr="007243B0">
      <w:t>Debating</w:t>
    </w:r>
    <w:r w:rsidRPr="007243B0">
      <w:t xml:space="preserve"> Society – Mooting Handbook &amp; Guide</w:t>
    </w:r>
    <w:r w:rsidR="00135F26" w:rsidRPr="007243B0">
      <w:t xml:space="preserve"> (202</w:t>
    </w:r>
    <w:r w:rsidR="007243B0" w:rsidRPr="007243B0">
      <w:t>6</w:t>
    </w:r>
    <w:r w:rsidR="00135F26" w:rsidRPr="007243B0">
      <w:t>/2</w:t>
    </w:r>
    <w:r w:rsidR="007243B0" w:rsidRPr="007243B0">
      <w:t>7</w:t>
    </w:r>
    <w:r w:rsidR="00135F26" w:rsidRPr="007243B0">
      <w:t xml:space="preserve"> Edition)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84C4E" w14:textId="77777777" w:rsidR="00722633" w:rsidRPr="007243B0" w:rsidRDefault="00722633" w:rsidP="00FC666A">
      <w:pPr>
        <w:spacing w:after="0" w:line="240" w:lineRule="auto"/>
      </w:pPr>
      <w:r w:rsidRPr="007243B0">
        <w:separator/>
      </w:r>
    </w:p>
  </w:footnote>
  <w:footnote w:type="continuationSeparator" w:id="0">
    <w:p w14:paraId="45BDD422" w14:textId="77777777" w:rsidR="00722633" w:rsidRPr="007243B0" w:rsidRDefault="00722633" w:rsidP="00FC666A">
      <w:pPr>
        <w:spacing w:after="0" w:line="240" w:lineRule="auto"/>
      </w:pPr>
      <w:r w:rsidRPr="007243B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32B6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60305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D338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F956A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272EC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933BAF"/>
    <w:multiLevelType w:val="hybridMultilevel"/>
    <w:tmpl w:val="652A50B6"/>
    <w:lvl w:ilvl="0" w:tplc="FFFFFFFF">
      <w:start w:val="202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2640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017B5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7B2EA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EB552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11528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94227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D4062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D23FA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9C1B43"/>
    <w:multiLevelType w:val="hybridMultilevel"/>
    <w:tmpl w:val="09AEAF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555D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03476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3751D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485A6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160DB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DD160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A9740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EEA373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4086497">
    <w:abstractNumId w:val="3"/>
  </w:num>
  <w:num w:numId="2" w16cid:durableId="72052781">
    <w:abstractNumId w:val="6"/>
  </w:num>
  <w:num w:numId="3" w16cid:durableId="1700085438">
    <w:abstractNumId w:val="7"/>
  </w:num>
  <w:num w:numId="4" w16cid:durableId="766585064">
    <w:abstractNumId w:val="9"/>
  </w:num>
  <w:num w:numId="5" w16cid:durableId="434712464">
    <w:abstractNumId w:val="2"/>
  </w:num>
  <w:num w:numId="6" w16cid:durableId="754862540">
    <w:abstractNumId w:val="11"/>
  </w:num>
  <w:num w:numId="7" w16cid:durableId="1463694522">
    <w:abstractNumId w:val="16"/>
  </w:num>
  <w:num w:numId="8" w16cid:durableId="138352296">
    <w:abstractNumId w:val="18"/>
  </w:num>
  <w:num w:numId="9" w16cid:durableId="1642541185">
    <w:abstractNumId w:val="12"/>
  </w:num>
  <w:num w:numId="10" w16cid:durableId="1677151993">
    <w:abstractNumId w:val="22"/>
  </w:num>
  <w:num w:numId="11" w16cid:durableId="1980500402">
    <w:abstractNumId w:val="13"/>
  </w:num>
  <w:num w:numId="12" w16cid:durableId="1532187348">
    <w:abstractNumId w:val="4"/>
  </w:num>
  <w:num w:numId="13" w16cid:durableId="1368213061">
    <w:abstractNumId w:val="8"/>
  </w:num>
  <w:num w:numId="14" w16cid:durableId="988249963">
    <w:abstractNumId w:val="0"/>
  </w:num>
  <w:num w:numId="15" w16cid:durableId="550775412">
    <w:abstractNumId w:val="17"/>
  </w:num>
  <w:num w:numId="16" w16cid:durableId="1695765895">
    <w:abstractNumId w:val="15"/>
  </w:num>
  <w:num w:numId="17" w16cid:durableId="480848660">
    <w:abstractNumId w:val="19"/>
  </w:num>
  <w:num w:numId="18" w16cid:durableId="1860511655">
    <w:abstractNumId w:val="10"/>
  </w:num>
  <w:num w:numId="19" w16cid:durableId="1627662493">
    <w:abstractNumId w:val="20"/>
  </w:num>
  <w:num w:numId="20" w16cid:durableId="922421978">
    <w:abstractNumId w:val="21"/>
  </w:num>
  <w:num w:numId="21" w16cid:durableId="897591161">
    <w:abstractNumId w:val="1"/>
  </w:num>
  <w:num w:numId="22" w16cid:durableId="1533759844">
    <w:abstractNumId w:val="5"/>
  </w:num>
  <w:num w:numId="23" w16cid:durableId="15006575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5B5"/>
    <w:rsid w:val="00001189"/>
    <w:rsid w:val="00061B61"/>
    <w:rsid w:val="00075F3E"/>
    <w:rsid w:val="000B7384"/>
    <w:rsid w:val="000C4C39"/>
    <w:rsid w:val="000F2F67"/>
    <w:rsid w:val="00102E62"/>
    <w:rsid w:val="00107CB2"/>
    <w:rsid w:val="00120BBF"/>
    <w:rsid w:val="00124D2D"/>
    <w:rsid w:val="00126F49"/>
    <w:rsid w:val="00135F26"/>
    <w:rsid w:val="00146788"/>
    <w:rsid w:val="00152832"/>
    <w:rsid w:val="0015587E"/>
    <w:rsid w:val="00172DCF"/>
    <w:rsid w:val="00181328"/>
    <w:rsid w:val="001A53C6"/>
    <w:rsid w:val="001D03E5"/>
    <w:rsid w:val="001F5E87"/>
    <w:rsid w:val="0024246A"/>
    <w:rsid w:val="00246131"/>
    <w:rsid w:val="00290F74"/>
    <w:rsid w:val="002E0B5B"/>
    <w:rsid w:val="003057B6"/>
    <w:rsid w:val="003262F4"/>
    <w:rsid w:val="003435B5"/>
    <w:rsid w:val="0037543A"/>
    <w:rsid w:val="0037667B"/>
    <w:rsid w:val="003A5B8A"/>
    <w:rsid w:val="003A79D2"/>
    <w:rsid w:val="003B509D"/>
    <w:rsid w:val="003B7F23"/>
    <w:rsid w:val="003D091D"/>
    <w:rsid w:val="003E159F"/>
    <w:rsid w:val="003E38D5"/>
    <w:rsid w:val="003F470D"/>
    <w:rsid w:val="00455958"/>
    <w:rsid w:val="004579C5"/>
    <w:rsid w:val="004603D8"/>
    <w:rsid w:val="00467D38"/>
    <w:rsid w:val="004B50C7"/>
    <w:rsid w:val="00501CA9"/>
    <w:rsid w:val="00515A23"/>
    <w:rsid w:val="005255B5"/>
    <w:rsid w:val="00537F2D"/>
    <w:rsid w:val="00553DA5"/>
    <w:rsid w:val="00561A4D"/>
    <w:rsid w:val="0056543E"/>
    <w:rsid w:val="00566316"/>
    <w:rsid w:val="005811BF"/>
    <w:rsid w:val="0058282A"/>
    <w:rsid w:val="005878B3"/>
    <w:rsid w:val="005A0F7C"/>
    <w:rsid w:val="005B5C5C"/>
    <w:rsid w:val="005E5B2A"/>
    <w:rsid w:val="005F2B40"/>
    <w:rsid w:val="005F3E39"/>
    <w:rsid w:val="00601420"/>
    <w:rsid w:val="00636D08"/>
    <w:rsid w:val="00650736"/>
    <w:rsid w:val="006636CD"/>
    <w:rsid w:val="006C453D"/>
    <w:rsid w:val="006C750C"/>
    <w:rsid w:val="006E1B0C"/>
    <w:rsid w:val="006E5FA5"/>
    <w:rsid w:val="006E60D0"/>
    <w:rsid w:val="006F13E6"/>
    <w:rsid w:val="006F337A"/>
    <w:rsid w:val="00703902"/>
    <w:rsid w:val="00722633"/>
    <w:rsid w:val="007243B0"/>
    <w:rsid w:val="007334FF"/>
    <w:rsid w:val="007350BD"/>
    <w:rsid w:val="00761997"/>
    <w:rsid w:val="0077019A"/>
    <w:rsid w:val="00787C48"/>
    <w:rsid w:val="007949F8"/>
    <w:rsid w:val="007A06DD"/>
    <w:rsid w:val="007A4ACD"/>
    <w:rsid w:val="007C46CB"/>
    <w:rsid w:val="007D4157"/>
    <w:rsid w:val="007E1C30"/>
    <w:rsid w:val="00820699"/>
    <w:rsid w:val="0086031E"/>
    <w:rsid w:val="00866B5E"/>
    <w:rsid w:val="008804DC"/>
    <w:rsid w:val="00882153"/>
    <w:rsid w:val="009054F9"/>
    <w:rsid w:val="00920A79"/>
    <w:rsid w:val="00956F57"/>
    <w:rsid w:val="009664BE"/>
    <w:rsid w:val="009839ED"/>
    <w:rsid w:val="009A1AA0"/>
    <w:rsid w:val="009B5B89"/>
    <w:rsid w:val="009B7302"/>
    <w:rsid w:val="00A11748"/>
    <w:rsid w:val="00A61ABA"/>
    <w:rsid w:val="00A81A4F"/>
    <w:rsid w:val="00AA190B"/>
    <w:rsid w:val="00AA40B6"/>
    <w:rsid w:val="00AB100D"/>
    <w:rsid w:val="00AC6BD6"/>
    <w:rsid w:val="00B16102"/>
    <w:rsid w:val="00B23964"/>
    <w:rsid w:val="00BA7A6D"/>
    <w:rsid w:val="00BC2BED"/>
    <w:rsid w:val="00BC4EFF"/>
    <w:rsid w:val="00C0422D"/>
    <w:rsid w:val="00C101CA"/>
    <w:rsid w:val="00C25196"/>
    <w:rsid w:val="00C277A0"/>
    <w:rsid w:val="00C36C79"/>
    <w:rsid w:val="00C40EA1"/>
    <w:rsid w:val="00C576BE"/>
    <w:rsid w:val="00C746FD"/>
    <w:rsid w:val="00C75C93"/>
    <w:rsid w:val="00CE364D"/>
    <w:rsid w:val="00D10382"/>
    <w:rsid w:val="00D87A5C"/>
    <w:rsid w:val="00DD18FF"/>
    <w:rsid w:val="00DF3142"/>
    <w:rsid w:val="00E1516B"/>
    <w:rsid w:val="00E16371"/>
    <w:rsid w:val="00E4334C"/>
    <w:rsid w:val="00E53DDC"/>
    <w:rsid w:val="00E60097"/>
    <w:rsid w:val="00E6611E"/>
    <w:rsid w:val="00E672BA"/>
    <w:rsid w:val="00E81ACF"/>
    <w:rsid w:val="00EB58B1"/>
    <w:rsid w:val="00EC60AB"/>
    <w:rsid w:val="00EE63B5"/>
    <w:rsid w:val="00F40B4F"/>
    <w:rsid w:val="00F74CF2"/>
    <w:rsid w:val="00FB6E78"/>
    <w:rsid w:val="00FC01C8"/>
    <w:rsid w:val="00FC390B"/>
    <w:rsid w:val="00FC666A"/>
    <w:rsid w:val="00FE77D9"/>
    <w:rsid w:val="00FF1D66"/>
    <w:rsid w:val="00FF483E"/>
    <w:rsid w:val="00FF69BA"/>
    <w:rsid w:val="3064AB6C"/>
    <w:rsid w:val="6DC3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9915E"/>
  <w15:chartTrackingRefBased/>
  <w15:docId w15:val="{058EEF51-0AC8-684C-A22F-DA6258DF2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35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35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35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5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5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5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5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5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5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5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5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5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5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5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5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5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5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5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35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5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5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5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35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35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35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35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5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5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35B5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AC6BD6"/>
    <w:pPr>
      <w:spacing w:after="0" w:line="240" w:lineRule="auto"/>
    </w:pPr>
    <w:rPr>
      <w:rFonts w:ascii="Hiragino Mincho ProN" w:hAnsi="Hiragino Mincho ProN" w:cs="Times New Roman"/>
      <w:color w:val="000000"/>
      <w:kern w:val="0"/>
      <w:sz w:val="27"/>
      <w:szCs w:val="27"/>
      <w14:ligatures w14:val="none"/>
    </w:rPr>
  </w:style>
  <w:style w:type="paragraph" w:customStyle="1" w:styleId="p2">
    <w:name w:val="p2"/>
    <w:basedOn w:val="Normal"/>
    <w:rsid w:val="00AC6BD6"/>
    <w:pPr>
      <w:spacing w:after="0" w:line="240" w:lineRule="auto"/>
    </w:pPr>
    <w:rPr>
      <w:rFonts w:ascii="Hiragino Mincho ProN" w:hAnsi="Hiragino Mincho ProN" w:cs="Times New Roman"/>
      <w:color w:val="000000"/>
      <w:kern w:val="0"/>
      <w:sz w:val="21"/>
      <w:szCs w:val="21"/>
      <w14:ligatures w14:val="none"/>
    </w:rPr>
  </w:style>
  <w:style w:type="paragraph" w:customStyle="1" w:styleId="p3">
    <w:name w:val="p3"/>
    <w:basedOn w:val="Normal"/>
    <w:rsid w:val="00AC6BD6"/>
    <w:pPr>
      <w:spacing w:after="0" w:line="240" w:lineRule="auto"/>
    </w:pPr>
    <w:rPr>
      <w:rFonts w:ascii="Hiragino Mincho ProN" w:hAnsi="Hiragino Mincho ProN" w:cs="Times New Roman"/>
      <w:color w:val="000000"/>
      <w:kern w:val="0"/>
      <w:sz w:val="17"/>
      <w:szCs w:val="17"/>
      <w14:ligatures w14:val="none"/>
    </w:rPr>
  </w:style>
  <w:style w:type="character" w:customStyle="1" w:styleId="s1">
    <w:name w:val="s1"/>
    <w:basedOn w:val="DefaultParagraphFont"/>
    <w:rsid w:val="00AC6BD6"/>
    <w:rPr>
      <w:rFonts w:ascii="HiraMinProN-W3" w:hAnsi="HiraMinProN-W3" w:hint="default"/>
      <w:b w:val="0"/>
      <w:bCs w:val="0"/>
      <w:i w:val="0"/>
      <w:iCs w:val="0"/>
      <w:sz w:val="27"/>
      <w:szCs w:val="27"/>
    </w:rPr>
  </w:style>
  <w:style w:type="character" w:customStyle="1" w:styleId="s2">
    <w:name w:val="s2"/>
    <w:basedOn w:val="DefaultParagraphFont"/>
    <w:rsid w:val="00AC6BD6"/>
    <w:rPr>
      <w:rFonts w:ascii="HiraMinProN-W3" w:hAnsi="HiraMinProN-W3" w:hint="default"/>
      <w:b w:val="0"/>
      <w:bCs w:val="0"/>
      <w:i w:val="0"/>
      <w:iCs w:val="0"/>
      <w:sz w:val="21"/>
      <w:szCs w:val="21"/>
    </w:rPr>
  </w:style>
  <w:style w:type="character" w:customStyle="1" w:styleId="s3">
    <w:name w:val="s3"/>
    <w:basedOn w:val="DefaultParagraphFont"/>
    <w:rsid w:val="00AC6BD6"/>
    <w:rPr>
      <w:rFonts w:ascii="HiraMinProN-W3" w:hAnsi="HiraMinProN-W3" w:hint="default"/>
      <w:b w:val="0"/>
      <w:bCs w:val="0"/>
      <w:i w:val="0"/>
      <w:iCs w:val="0"/>
      <w:sz w:val="17"/>
      <w:szCs w:val="17"/>
    </w:rPr>
  </w:style>
  <w:style w:type="paragraph" w:customStyle="1" w:styleId="p4">
    <w:name w:val="p4"/>
    <w:basedOn w:val="Normal"/>
    <w:rsid w:val="007C46CB"/>
    <w:pPr>
      <w:spacing w:after="0" w:line="240" w:lineRule="auto"/>
    </w:pPr>
    <w:rPr>
      <w:rFonts w:ascii="Hiragino Mincho ProN" w:hAnsi="Hiragino Mincho ProN" w:cs="Times New Roman"/>
      <w:color w:val="000000"/>
      <w:kern w:val="0"/>
      <w:sz w:val="14"/>
      <w:szCs w:val="14"/>
      <w14:ligatures w14:val="none"/>
    </w:rPr>
  </w:style>
  <w:style w:type="character" w:customStyle="1" w:styleId="s4">
    <w:name w:val="s4"/>
    <w:basedOn w:val="DefaultParagraphFont"/>
    <w:rsid w:val="007C46CB"/>
    <w:rPr>
      <w:rFonts w:ascii="HiraMinProN-W3" w:hAnsi="HiraMinProN-W3" w:hint="default"/>
      <w:b w:val="0"/>
      <w:bCs w:val="0"/>
      <w:i w:val="0"/>
      <w:iCs w:val="0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FC66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66A"/>
  </w:style>
  <w:style w:type="paragraph" w:styleId="Footer">
    <w:name w:val="footer"/>
    <w:basedOn w:val="Normal"/>
    <w:link w:val="FooterChar"/>
    <w:uiPriority w:val="99"/>
    <w:unhideWhenUsed/>
    <w:rsid w:val="00FC66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66A"/>
  </w:style>
  <w:style w:type="character" w:styleId="PageNumber">
    <w:name w:val="page number"/>
    <w:basedOn w:val="DefaultParagraphFont"/>
    <w:uiPriority w:val="99"/>
    <w:semiHidden/>
    <w:unhideWhenUsed/>
    <w:rsid w:val="00135F26"/>
  </w:style>
  <w:style w:type="table" w:styleId="TableGrid">
    <w:name w:val="Table Grid"/>
    <w:basedOn w:val="TableNormal"/>
    <w:uiPriority w:val="39"/>
    <w:rsid w:val="00703902"/>
    <w:pPr>
      <w:spacing w:after="0" w:line="240" w:lineRule="auto"/>
    </w:pPr>
    <w:rPr>
      <w:rFonts w:eastAsiaTheme="minorHAnsi"/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039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39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039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LAW%20Society%20Mooting%20Marksheet%20OG%2026-27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16</Pages>
  <Words>2530</Words>
  <Characters>14422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Armaanpreet Singh</dc:creator>
  <cp:keywords/>
  <dc:description/>
  <cp:lastModifiedBy>Armaanpreet Singh</cp:lastModifiedBy>
  <cp:revision>11</cp:revision>
  <dcterms:created xsi:type="dcterms:W3CDTF">2026-08-17T14:00:00Z</dcterms:created>
  <dcterms:modified xsi:type="dcterms:W3CDTF">2026-10-02T23:17:00Z</dcterms:modified>
</cp:coreProperties>
</file>